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8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9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ADF" w:rsidRDefault="002D6ADF" w:rsidP="002D6ADF">
      <w:pPr>
        <w:pBdr>
          <w:bottom w:val="single" w:sz="4" w:space="1" w:color="auto"/>
        </w:pBdr>
        <w:spacing w:after="0"/>
        <w:ind w:left="142" w:right="-337"/>
        <w:jc w:val="center"/>
        <w:rPr>
          <w:b/>
          <w:sz w:val="28"/>
        </w:rPr>
      </w:pPr>
      <w:r>
        <w:rPr>
          <w:b/>
          <w:noProof/>
          <w:sz w:val="28"/>
          <w:lang w:eastAsia="lv-LV"/>
        </w:rPr>
        <w:drawing>
          <wp:inline distT="0" distB="0" distL="0" distR="0">
            <wp:extent cx="1906905" cy="1906905"/>
            <wp:effectExtent l="0" t="0" r="0" b="0"/>
            <wp:docPr id="1" name="Picture 1" descr="C:\Users\dita.babra\AppData\Local\Microsoft\Windows\INetCache\Content.Word\__vienkarss_pilnkrasu_rgb_v_LV-32_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ta.babra\AppData\Local\Microsoft\Windows\INetCache\Content.Word\__vienkarss_pilnkrasu_rgb_v_LV-32_2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ADF" w:rsidRDefault="002D6ADF" w:rsidP="002D6ADF">
      <w:pPr>
        <w:pBdr>
          <w:bottom w:val="single" w:sz="4" w:space="1" w:color="auto"/>
        </w:pBdr>
        <w:spacing w:after="0"/>
        <w:ind w:left="142" w:right="-337"/>
        <w:jc w:val="center"/>
        <w:rPr>
          <w:b/>
          <w:sz w:val="28"/>
        </w:rPr>
      </w:pPr>
    </w:p>
    <w:p w:rsidR="002D6ADF" w:rsidRPr="002D6ADF" w:rsidRDefault="002D6ADF" w:rsidP="002D6ADF">
      <w:pPr>
        <w:pBdr>
          <w:bottom w:val="single" w:sz="4" w:space="1" w:color="auto"/>
        </w:pBdr>
        <w:spacing w:after="0"/>
        <w:ind w:left="142" w:right="-337"/>
        <w:jc w:val="center"/>
        <w:rPr>
          <w:b/>
          <w:sz w:val="44"/>
          <w:szCs w:val="44"/>
        </w:rPr>
      </w:pPr>
      <w:r w:rsidRPr="002D6ADF">
        <w:rPr>
          <w:b/>
          <w:sz w:val="44"/>
          <w:szCs w:val="44"/>
        </w:rPr>
        <w:t xml:space="preserve">2021. gada nogalē veiktās klientu apmierinātības mērījuma rezultāti </w:t>
      </w:r>
    </w:p>
    <w:p w:rsidR="002D6ADF" w:rsidRDefault="002D6ADF" w:rsidP="002D6ADF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2D6ADF" w:rsidRPr="004B5ACF" w:rsidRDefault="002D6ADF" w:rsidP="002D6ADF">
      <w:pPr>
        <w:spacing w:after="0"/>
        <w:ind w:left="284" w:right="91"/>
        <w:jc w:val="both"/>
        <w:rPr>
          <w:rFonts w:cs="Times New Roman"/>
          <w:b/>
          <w:sz w:val="24"/>
          <w:szCs w:val="24"/>
        </w:rPr>
      </w:pPr>
      <w:r w:rsidRPr="004B5ACF">
        <w:rPr>
          <w:rFonts w:cs="Times New Roman"/>
          <w:b/>
          <w:sz w:val="24"/>
          <w:szCs w:val="24"/>
        </w:rPr>
        <w:lastRenderedPageBreak/>
        <w:t xml:space="preserve">Aptauja elektroniskajā vidē </w:t>
      </w:r>
      <w:hyperlink r:id="rId6" w:history="1">
        <w:r w:rsidRPr="004B5ACF">
          <w:rPr>
            <w:rFonts w:cs="Times New Roman"/>
            <w:b/>
            <w:color w:val="0563C1" w:themeColor="hyperlink"/>
            <w:sz w:val="24"/>
            <w:szCs w:val="24"/>
            <w:u w:val="single"/>
          </w:rPr>
          <w:t>www.visidati.lv</w:t>
        </w:r>
      </w:hyperlink>
      <w:r w:rsidRPr="004B5ACF">
        <w:rPr>
          <w:rFonts w:cs="Times New Roman"/>
          <w:b/>
          <w:sz w:val="24"/>
          <w:szCs w:val="24"/>
        </w:rPr>
        <w:t xml:space="preserve"> tika veikta 2021. gada aprīlī- septembrī, savukārt oktobrī un novembrī notika klātienes klientu aptauja teritoriālajās nodaļās. Tās laikā 90 anketas tika aizpildītas e-vidē un 910 anketas aizpildīja  PMLP klātienes klienti. Šajā gadā pandēmijas dēļ tika aptaujāta tikai viena klientu grupa- tie, kuri noformējuši / saņēmuši personu apliecinošu dokumentu.</w:t>
      </w:r>
    </w:p>
    <w:p w:rsidR="002D6ADF" w:rsidRDefault="002D6ADF" w:rsidP="002D6ADF">
      <w:pPr>
        <w:spacing w:after="0"/>
        <w:ind w:left="284" w:right="91"/>
        <w:jc w:val="both"/>
        <w:rPr>
          <w:rFonts w:cs="Times New Roman"/>
          <w:sz w:val="24"/>
          <w:szCs w:val="24"/>
        </w:rPr>
      </w:pPr>
    </w:p>
    <w:p w:rsidR="002D6ADF" w:rsidRDefault="002D6ADF" w:rsidP="002D6ADF">
      <w:pPr>
        <w:spacing w:after="0"/>
        <w:ind w:left="284" w:right="91"/>
        <w:jc w:val="both"/>
        <w:rPr>
          <w:rFonts w:cs="Times New Roman"/>
          <w:sz w:val="24"/>
          <w:szCs w:val="24"/>
        </w:rPr>
      </w:pPr>
    </w:p>
    <w:p w:rsidR="00D726B8" w:rsidRPr="00D726B8" w:rsidRDefault="002D6ADF" w:rsidP="00C316FD">
      <w:pPr>
        <w:pStyle w:val="ListParagraph"/>
        <w:numPr>
          <w:ilvl w:val="0"/>
          <w:numId w:val="1"/>
        </w:numPr>
        <w:ind w:right="140"/>
        <w:jc w:val="both"/>
      </w:pPr>
      <w:r w:rsidRPr="007503E5">
        <w:t>jautājums</w:t>
      </w:r>
      <w:r w:rsidRPr="00D726B8">
        <w:rPr>
          <w:rFonts w:cs="Times New Roman"/>
          <w:sz w:val="24"/>
          <w:szCs w:val="24"/>
        </w:rPr>
        <w:t xml:space="preserve">. </w:t>
      </w:r>
      <w:r w:rsidRPr="00D726B8">
        <w:rPr>
          <w:rFonts w:cs="Times New Roman"/>
          <w:b/>
          <w:sz w:val="24"/>
          <w:szCs w:val="24"/>
        </w:rPr>
        <w:t>Kuru pakalpojumu izmantojāt</w:t>
      </w:r>
      <w:r w:rsidRPr="00D726B8">
        <w:rPr>
          <w:rFonts w:cs="Times New Roman"/>
          <w:sz w:val="24"/>
          <w:szCs w:val="24"/>
        </w:rPr>
        <w:t>?</w:t>
      </w:r>
    </w:p>
    <w:p w:rsidR="00D726B8" w:rsidRDefault="00D726B8" w:rsidP="00D726B8">
      <w:pPr>
        <w:pStyle w:val="ListParagraph"/>
        <w:ind w:left="1004" w:right="140"/>
        <w:jc w:val="both"/>
      </w:pPr>
      <w:r>
        <w:rPr>
          <w:noProof/>
        </w:rPr>
        <w:drawing>
          <wp:inline distT="0" distB="0" distL="0" distR="0" wp14:anchorId="4291D231" wp14:editId="0C4608DF">
            <wp:extent cx="6501160" cy="4014439"/>
            <wp:effectExtent l="0" t="0" r="13970" b="571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7D43F4" w:rsidRPr="00D726B8" w:rsidRDefault="007D43F4" w:rsidP="00D726B8">
      <w:pPr>
        <w:pStyle w:val="ListParagraph"/>
        <w:ind w:left="1004" w:right="140"/>
        <w:jc w:val="both"/>
      </w:pPr>
    </w:p>
    <w:p w:rsidR="007B2678" w:rsidRPr="007B2678" w:rsidRDefault="007B2678" w:rsidP="007B2678">
      <w:pPr>
        <w:pStyle w:val="ListParagraph"/>
        <w:ind w:left="1004" w:right="140"/>
        <w:jc w:val="both"/>
      </w:pPr>
    </w:p>
    <w:p w:rsidR="002D6ADF" w:rsidRPr="002D6ADF" w:rsidRDefault="002D6ADF" w:rsidP="002D6ADF">
      <w:pPr>
        <w:pStyle w:val="ListParagraph"/>
        <w:numPr>
          <w:ilvl w:val="0"/>
          <w:numId w:val="1"/>
        </w:numPr>
        <w:ind w:right="140"/>
        <w:jc w:val="both"/>
        <w:rPr>
          <w:rFonts w:cs="Times New Roman"/>
          <w:b/>
          <w:sz w:val="24"/>
          <w:szCs w:val="24"/>
        </w:rPr>
      </w:pPr>
      <w:r w:rsidRPr="002D6ADF">
        <w:t>jautājums</w:t>
      </w:r>
      <w:r w:rsidRPr="002D6ADF">
        <w:rPr>
          <w:rFonts w:cs="Times New Roman"/>
          <w:b/>
          <w:sz w:val="24"/>
          <w:szCs w:val="24"/>
        </w:rPr>
        <w:t>. Kā jūs vērtējat PMLP sniegtā pakalpojuma kvalitāti?</w:t>
      </w:r>
    </w:p>
    <w:p w:rsidR="00CC2F8C" w:rsidRDefault="002D6ADF" w:rsidP="002D6ADF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  <w:r w:rsidRPr="002D6ADF">
        <w:rPr>
          <w:rFonts w:cs="Times New Roman"/>
          <w:sz w:val="24"/>
          <w:szCs w:val="24"/>
        </w:rPr>
        <w:t xml:space="preserve">Respondenti skalā no 1 līdz 6 vērtēja vispārējo pakalpojuma kvalitāti. Tika aprēķināta vidējā vērtība dažādās klientu grupās- pēc demogrāfiskajiem datiem un pēc reģionālā sadalījuma, kur tika saņemts pakalpojums. </w:t>
      </w:r>
    </w:p>
    <w:p w:rsidR="00CC2F8C" w:rsidRDefault="00CC2F8C" w:rsidP="002D6ADF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</w:p>
    <w:p w:rsidR="00CC2F8C" w:rsidRDefault="00CC2F8C" w:rsidP="002D6ADF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</w:p>
    <w:p w:rsidR="002D6ADF" w:rsidRPr="0038240D" w:rsidRDefault="00CC2F8C" w:rsidP="0038240D">
      <w:pPr>
        <w:spacing w:after="0"/>
        <w:jc w:val="center"/>
        <w:rPr>
          <w:rFonts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053B3C2" wp14:editId="7623C814">
            <wp:extent cx="7504771" cy="3735659"/>
            <wp:effectExtent l="0" t="0" r="1270" b="1778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D6ADF" w:rsidRPr="007503E5" w:rsidRDefault="002D6ADF" w:rsidP="002D6ADF">
      <w:pPr>
        <w:pStyle w:val="ListParagraph"/>
        <w:numPr>
          <w:ilvl w:val="0"/>
          <w:numId w:val="1"/>
        </w:numPr>
        <w:ind w:right="140"/>
        <w:jc w:val="both"/>
      </w:pPr>
      <w:r w:rsidRPr="007503E5">
        <w:lastRenderedPageBreak/>
        <w:t>jautājums</w:t>
      </w:r>
      <w:r w:rsidRPr="007503E5">
        <w:rPr>
          <w:rFonts w:cs="Times New Roman"/>
          <w:sz w:val="24"/>
          <w:szCs w:val="24"/>
        </w:rPr>
        <w:t>.</w:t>
      </w:r>
      <w:r w:rsidRPr="007503E5">
        <w:rPr>
          <w:rFonts w:cs="Times New Roman"/>
          <w:b/>
          <w:sz w:val="24"/>
          <w:szCs w:val="24"/>
        </w:rPr>
        <w:t xml:space="preserve"> Cik svarīgi Jums ir ar pakalpojumu saistīti aspekti?</w:t>
      </w:r>
    </w:p>
    <w:p w:rsidR="002D6ADF" w:rsidRPr="007503E5" w:rsidRDefault="002D6ADF" w:rsidP="002D6ADF">
      <w:pPr>
        <w:spacing w:after="0"/>
        <w:ind w:left="284" w:right="140"/>
        <w:jc w:val="both"/>
        <w:rPr>
          <w:rFonts w:cs="Times New Roman"/>
          <w:sz w:val="24"/>
          <w:szCs w:val="24"/>
        </w:rPr>
      </w:pPr>
      <w:r w:rsidRPr="007503E5">
        <w:rPr>
          <w:rFonts w:cs="Times New Roman"/>
          <w:sz w:val="24"/>
          <w:szCs w:val="24"/>
        </w:rPr>
        <w:t xml:space="preserve">Respondenti skalā no 1 līdz 6 vērtēja katru no 7 piedāvātajiem aspektiem. Tika aprēķināta vidējā vērtība katram aspektam dažādās klientu grupās- pēc demogrāfiskajiem datiem un pēc reģionālā sadalījuma, kur tika saņemts pakalpojums. </w:t>
      </w:r>
    </w:p>
    <w:p w:rsidR="002D6ADF" w:rsidRDefault="002D6ADF" w:rsidP="002D6ADF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  <w:r w:rsidRPr="007503E5">
        <w:rPr>
          <w:rFonts w:cs="Times New Roman"/>
          <w:sz w:val="24"/>
          <w:szCs w:val="24"/>
        </w:rPr>
        <w:t>Cik dienas gaidījāt pakalpojumu pēc iepriekšējā pieraksta veikšanas?</w:t>
      </w:r>
    </w:p>
    <w:p w:rsidR="00CC2F8C" w:rsidRDefault="00CC2F8C" w:rsidP="002D6ADF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</w:p>
    <w:p w:rsidR="00CC2F8C" w:rsidRDefault="00CC2F8C" w:rsidP="002D6ADF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6BB9A3" wp14:editId="23BD5F0F">
            <wp:extent cx="8251902" cy="3702205"/>
            <wp:effectExtent l="0" t="0" r="15875" b="12700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D6ADF" w:rsidRPr="00CC2F8C" w:rsidRDefault="002D6ADF" w:rsidP="00CC2F8C">
      <w:pPr>
        <w:rPr>
          <w:rFonts w:eastAsiaTheme="minorEastAsia" w:cs="Times New Roman"/>
          <w:sz w:val="24"/>
          <w:szCs w:val="24"/>
          <w:lang w:eastAsia="lv-LV"/>
        </w:rPr>
      </w:pPr>
      <w:r>
        <w:rPr>
          <w:rFonts w:cs="Times New Roman"/>
          <w:sz w:val="24"/>
          <w:szCs w:val="24"/>
        </w:rPr>
        <w:br w:type="page"/>
      </w:r>
    </w:p>
    <w:p w:rsidR="002D6ADF" w:rsidRPr="002D6ADF" w:rsidRDefault="002D6ADF" w:rsidP="002D6ADF">
      <w:pPr>
        <w:pStyle w:val="ListParagraph"/>
        <w:numPr>
          <w:ilvl w:val="0"/>
          <w:numId w:val="1"/>
        </w:numPr>
        <w:ind w:right="140"/>
        <w:jc w:val="both"/>
        <w:rPr>
          <w:rFonts w:cs="Times New Roman"/>
          <w:b/>
          <w:sz w:val="24"/>
          <w:szCs w:val="24"/>
        </w:rPr>
      </w:pPr>
      <w:r w:rsidRPr="002D6ADF">
        <w:rPr>
          <w:rFonts w:cs="Times New Roman"/>
          <w:b/>
          <w:sz w:val="24"/>
          <w:szCs w:val="24"/>
        </w:rPr>
        <w:lastRenderedPageBreak/>
        <w:t>Kā Jūs vērtējat šādus, ar apkalpošanu saistītos, aspektus Pilsonības un migrācijas lietu pārvaldē?</w:t>
      </w:r>
    </w:p>
    <w:p w:rsidR="002D6ADF" w:rsidRDefault="002D6ADF" w:rsidP="002D6ADF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  <w:r w:rsidRPr="002D6ADF">
        <w:rPr>
          <w:rFonts w:cs="Times New Roman"/>
          <w:sz w:val="24"/>
          <w:szCs w:val="24"/>
        </w:rPr>
        <w:t>Respondenti skalā no 1 līdz 6 vērtēja katru no 7 piedāvātajiem aspektiem PMLP. Tika aprēķināta vidējā vērtība katram aspektam un vidēji par vienu aspektu dažādās klientu grupās- pēc demogrāfiskajiem datiem un pēc reģionālā sadalījuma, kur tika saņemts pakalpojums.</w:t>
      </w:r>
    </w:p>
    <w:p w:rsidR="00CC2F8C" w:rsidRDefault="00CC2F8C" w:rsidP="002D6ADF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</w:p>
    <w:p w:rsidR="002D6ADF" w:rsidRPr="00CC2F8C" w:rsidRDefault="00CC2F8C" w:rsidP="00CC2F8C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F85966" wp14:editId="5E8AA453">
            <wp:extent cx="8006575" cy="4170557"/>
            <wp:effectExtent l="0" t="0" r="13970" b="1905"/>
            <wp:docPr id="53" name="Chart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C2F8C" w:rsidRDefault="00CC2F8C" w:rsidP="002D6ADF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</w:p>
    <w:p w:rsidR="00CC2F8C" w:rsidRDefault="00CC2F8C" w:rsidP="002D6ADF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  <w:r w:rsidRPr="00D625B3">
        <w:rPr>
          <w:noProof/>
          <w:shd w:val="clear" w:color="auto" w:fill="833C0B" w:themeFill="accent2" w:themeFillShade="80"/>
        </w:rPr>
        <w:drawing>
          <wp:inline distT="0" distB="0" distL="0" distR="0" wp14:anchorId="0C9412CC" wp14:editId="27A1DB0D">
            <wp:extent cx="7961970" cy="5018049"/>
            <wp:effectExtent l="0" t="0" r="1270" b="11430"/>
            <wp:docPr id="55" name="Chart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C2F8C" w:rsidRPr="002D6ADF" w:rsidRDefault="00CC2F8C" w:rsidP="00CC2F8C">
      <w:pPr>
        <w:pStyle w:val="ListParagraph"/>
        <w:numPr>
          <w:ilvl w:val="0"/>
          <w:numId w:val="1"/>
        </w:numPr>
        <w:spacing w:after="0"/>
        <w:ind w:right="14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  <w:r w:rsidRPr="002D6ADF">
        <w:rPr>
          <w:rFonts w:cs="Times New Roman"/>
          <w:sz w:val="24"/>
          <w:szCs w:val="24"/>
        </w:rPr>
        <w:lastRenderedPageBreak/>
        <w:t xml:space="preserve">jautājums. </w:t>
      </w:r>
      <w:r w:rsidRPr="002D6ADF">
        <w:rPr>
          <w:rFonts w:cs="Times New Roman"/>
          <w:b/>
          <w:sz w:val="24"/>
          <w:szCs w:val="24"/>
        </w:rPr>
        <w:t>Cik dienu Jums vajadzēja gaidīt pakalpojuma saņemšanai pēc iepriekšējā pieraksta veikšanas?</w:t>
      </w:r>
    </w:p>
    <w:p w:rsidR="00CC2F8C" w:rsidRDefault="00CC2F8C" w:rsidP="00CC2F8C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  <w:r w:rsidRPr="002D6ADF">
        <w:rPr>
          <w:rFonts w:cs="Times New Roman"/>
          <w:sz w:val="24"/>
          <w:szCs w:val="24"/>
        </w:rPr>
        <w:t>Respondenti norādīja dienu skaitu, cik ilgi tie gaidīja vizīti pēc iepriekšējā pieraksta veikšanas. Aprēķināts vidējais un maksimālais gaidīšanas laiks pakalpojumu un reģionālajā griezumā.</w:t>
      </w:r>
    </w:p>
    <w:p w:rsidR="00CC2F8C" w:rsidRDefault="00CC2F8C" w:rsidP="00CC2F8C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</w:p>
    <w:p w:rsidR="00CC2F8C" w:rsidRDefault="00CC2F8C" w:rsidP="00CC2F8C">
      <w:pPr>
        <w:spacing w:after="0"/>
        <w:ind w:left="142" w:right="91"/>
        <w:jc w:val="center"/>
        <w:rPr>
          <w:rFonts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3B7B3A3" wp14:editId="0973357B">
            <wp:extent cx="8943278" cy="1962615"/>
            <wp:effectExtent l="0" t="0" r="10795" b="0"/>
            <wp:docPr id="50" name="Chart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C2F8C" w:rsidRPr="006E31B5" w:rsidRDefault="00CC2F8C" w:rsidP="00CC2F8C">
      <w:pPr>
        <w:spacing w:after="0"/>
        <w:ind w:left="284" w:right="91"/>
        <w:jc w:val="center"/>
        <w:rPr>
          <w:rFonts w:cs="Times New Roman"/>
          <w:b/>
          <w:sz w:val="20"/>
          <w:szCs w:val="24"/>
        </w:rPr>
      </w:pPr>
    </w:p>
    <w:p w:rsidR="00CC2F8C" w:rsidRDefault="00CC2F8C" w:rsidP="00CC2F8C">
      <w:pPr>
        <w:spacing w:after="0"/>
        <w:ind w:right="-2"/>
        <w:jc w:val="center"/>
        <w:rPr>
          <w:rFonts w:cs="Times New Roman"/>
          <w:b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23D76B2E" wp14:editId="1A377FBB">
            <wp:extent cx="8831766" cy="1873404"/>
            <wp:effectExtent l="0" t="0" r="7620" b="12700"/>
            <wp:docPr id="51" name="Chart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D6ADF" w:rsidRPr="00CC2F8C" w:rsidRDefault="002D6ADF" w:rsidP="00CC2F8C">
      <w:pPr>
        <w:spacing w:after="0"/>
        <w:ind w:right="140"/>
        <w:jc w:val="both"/>
        <w:rPr>
          <w:rFonts w:cs="Times New Roman"/>
          <w:sz w:val="24"/>
          <w:szCs w:val="24"/>
        </w:rPr>
      </w:pPr>
    </w:p>
    <w:p w:rsidR="002D6ADF" w:rsidRPr="002D6ADF" w:rsidRDefault="002D6ADF" w:rsidP="002D6ADF">
      <w:pPr>
        <w:pStyle w:val="ListParagraph"/>
        <w:numPr>
          <w:ilvl w:val="0"/>
          <w:numId w:val="1"/>
        </w:numPr>
        <w:ind w:right="140"/>
        <w:jc w:val="both"/>
        <w:rPr>
          <w:rFonts w:cs="Times New Roman"/>
          <w:b/>
          <w:sz w:val="24"/>
          <w:szCs w:val="24"/>
        </w:rPr>
      </w:pPr>
      <w:r w:rsidRPr="002D6ADF">
        <w:lastRenderedPageBreak/>
        <w:t>jautājums</w:t>
      </w:r>
      <w:r w:rsidRPr="002D6ADF">
        <w:rPr>
          <w:rFonts w:cs="Times New Roman"/>
          <w:sz w:val="24"/>
          <w:szCs w:val="24"/>
        </w:rPr>
        <w:t>.</w:t>
      </w:r>
      <w:r w:rsidRPr="002D6ADF">
        <w:rPr>
          <w:rFonts w:cs="Times New Roman"/>
          <w:b/>
          <w:sz w:val="24"/>
          <w:szCs w:val="24"/>
        </w:rPr>
        <w:t xml:space="preserve"> Kā Jūs vērtējat klientu apkalpošanas speciālista darbu?</w:t>
      </w:r>
    </w:p>
    <w:p w:rsidR="002D6ADF" w:rsidRDefault="002D6ADF" w:rsidP="002D6ADF">
      <w:pPr>
        <w:spacing w:after="0"/>
        <w:ind w:left="644" w:right="140"/>
        <w:jc w:val="both"/>
        <w:rPr>
          <w:rFonts w:cs="Times New Roman"/>
          <w:sz w:val="24"/>
          <w:szCs w:val="24"/>
        </w:rPr>
      </w:pPr>
      <w:r w:rsidRPr="002D6ADF">
        <w:rPr>
          <w:rFonts w:cs="Times New Roman"/>
          <w:sz w:val="24"/>
          <w:szCs w:val="24"/>
        </w:rPr>
        <w:t xml:space="preserve">Respondenti skalā no 1 līdz 6 vērtēja katru no 6 piedāvātajiem faktoriem. Tika aprēķināta vidējā vērtība katram faktoram un vidēji par vienu faktoru dažādās klientu grupās- pēc demogrāfiskajiem datiem un pēc reģionālā sadalījuma, kur tika saņemts pakalpojums. </w:t>
      </w:r>
    </w:p>
    <w:p w:rsidR="00CC2F8C" w:rsidRDefault="00CC2F8C" w:rsidP="002D6ADF">
      <w:pPr>
        <w:spacing w:after="0"/>
        <w:ind w:left="644" w:right="140"/>
        <w:jc w:val="both"/>
        <w:rPr>
          <w:rFonts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217D0B0A" wp14:editId="551D4AAF">
            <wp:extent cx="8296507" cy="4282068"/>
            <wp:effectExtent l="0" t="0" r="9525" b="4445"/>
            <wp:docPr id="88" name="Chart 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D6ADF" w:rsidRPr="00CC2F8C" w:rsidRDefault="00CC2F8C" w:rsidP="00CC2F8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2D6ADF" w:rsidRDefault="002D6ADF" w:rsidP="002D6ADF">
      <w:pPr>
        <w:pStyle w:val="ListParagraph"/>
        <w:numPr>
          <w:ilvl w:val="0"/>
          <w:numId w:val="1"/>
        </w:numPr>
        <w:spacing w:after="0"/>
        <w:ind w:right="140"/>
        <w:jc w:val="both"/>
        <w:rPr>
          <w:rFonts w:cs="Times New Roman"/>
          <w:b/>
          <w:sz w:val="24"/>
          <w:szCs w:val="24"/>
        </w:rPr>
      </w:pPr>
      <w:r w:rsidRPr="002D6ADF">
        <w:rPr>
          <w:rFonts w:cs="Times New Roman"/>
          <w:sz w:val="24"/>
          <w:szCs w:val="24"/>
        </w:rPr>
        <w:lastRenderedPageBreak/>
        <w:t xml:space="preserve"> jautājums. </w:t>
      </w:r>
      <w:r w:rsidRPr="002D6ADF">
        <w:rPr>
          <w:rFonts w:cs="Times New Roman"/>
          <w:b/>
          <w:sz w:val="24"/>
          <w:szCs w:val="24"/>
        </w:rPr>
        <w:t>Vai Jūs uzticaties PMLP par savu sniegto personas datu drošību?</w:t>
      </w:r>
    </w:p>
    <w:p w:rsidR="002D6ADF" w:rsidRDefault="002D6ADF" w:rsidP="002D6ADF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  <w:r w:rsidRPr="002D6ADF">
        <w:rPr>
          <w:rFonts w:cs="Times New Roman"/>
          <w:sz w:val="24"/>
          <w:szCs w:val="24"/>
        </w:rPr>
        <w:t>Respondenti novērtēja uzticēšanās pakāpi (1- pilnībā uzticas, 2- daļēji uzticas, 3- neuzticas) savu personas datu drošībai PMLP. Tika aprēķināts vidējais uzticēšanās rādītājs dažādās respondentu grupās- pēc demogrāfiskajiem datiem un reģionā sadalījuma, kur tika saņemts pakalpojums.</w:t>
      </w:r>
    </w:p>
    <w:p w:rsidR="00CC2F8C" w:rsidRDefault="00CC2F8C" w:rsidP="002D6ADF">
      <w:pPr>
        <w:pStyle w:val="ListParagraph"/>
        <w:spacing w:after="0"/>
        <w:ind w:left="1004" w:right="140"/>
        <w:jc w:val="both"/>
        <w:rPr>
          <w:rFonts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33FC594" wp14:editId="508B8E90">
            <wp:extent cx="7716643" cy="4170556"/>
            <wp:effectExtent l="0" t="0" r="17780" b="1905"/>
            <wp:docPr id="35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2F8C" w:rsidRDefault="00CC2F8C">
      <w:pPr>
        <w:rPr>
          <w:rFonts w:eastAsiaTheme="minorEastAsia" w:cs="Times New Roman"/>
          <w:b/>
          <w:sz w:val="24"/>
          <w:szCs w:val="24"/>
          <w:lang w:eastAsia="lv-LV"/>
        </w:rPr>
      </w:pPr>
      <w:r>
        <w:rPr>
          <w:rFonts w:cs="Times New Roman"/>
          <w:b/>
          <w:sz w:val="24"/>
          <w:szCs w:val="24"/>
        </w:rPr>
        <w:br w:type="page"/>
      </w:r>
    </w:p>
    <w:p w:rsidR="00CC2F8C" w:rsidRDefault="00CC2F8C" w:rsidP="002D6ADF">
      <w:pPr>
        <w:pStyle w:val="ListParagraph"/>
        <w:spacing w:after="0"/>
        <w:ind w:left="1004" w:right="140"/>
        <w:jc w:val="both"/>
        <w:rPr>
          <w:rFonts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1B1553" wp14:editId="0E0DE5E6">
            <wp:extent cx="8151541" cy="4973444"/>
            <wp:effectExtent l="0" t="0" r="1905" b="17780"/>
            <wp:docPr id="92" name="Chart 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D6ADF" w:rsidRPr="002D6ADF" w:rsidRDefault="002D6ADF" w:rsidP="002D6ADF">
      <w:pPr>
        <w:spacing w:after="0"/>
        <w:ind w:right="140"/>
        <w:jc w:val="both"/>
        <w:rPr>
          <w:rFonts w:cs="Times New Roman"/>
          <w:sz w:val="24"/>
          <w:szCs w:val="24"/>
        </w:rPr>
      </w:pPr>
    </w:p>
    <w:p w:rsidR="00CC2F8C" w:rsidRPr="002D6ADF" w:rsidRDefault="00CC2F8C" w:rsidP="00CC2F8C">
      <w:pPr>
        <w:pStyle w:val="ListParagraph"/>
        <w:numPr>
          <w:ilvl w:val="0"/>
          <w:numId w:val="1"/>
        </w:numPr>
        <w:ind w:right="140"/>
        <w:jc w:val="both"/>
        <w:rPr>
          <w:rFonts w:cs="Times New Roman"/>
          <w:b/>
          <w:sz w:val="24"/>
          <w:szCs w:val="24"/>
        </w:rPr>
      </w:pPr>
      <w:r w:rsidRPr="002D6ADF">
        <w:lastRenderedPageBreak/>
        <w:t>jautājums</w:t>
      </w:r>
      <w:r w:rsidRPr="002D6ADF">
        <w:rPr>
          <w:rFonts w:cs="Times New Roman"/>
          <w:sz w:val="24"/>
          <w:szCs w:val="24"/>
        </w:rPr>
        <w:t>.</w:t>
      </w:r>
      <w:r w:rsidRPr="002D6ADF">
        <w:rPr>
          <w:rFonts w:cs="Times New Roman"/>
          <w:b/>
          <w:sz w:val="24"/>
          <w:szCs w:val="24"/>
        </w:rPr>
        <w:t xml:space="preserve"> Kopējā klientu apmierinātība</w:t>
      </w:r>
    </w:p>
    <w:p w:rsidR="00CC2F8C" w:rsidRDefault="00CC2F8C" w:rsidP="00CC2F8C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  <w:r w:rsidRPr="002D6ADF">
        <w:rPr>
          <w:rFonts w:cs="Times New Roman"/>
          <w:sz w:val="24"/>
          <w:szCs w:val="24"/>
        </w:rPr>
        <w:t>Tika aprēķināta vidējā vērtība par vienu rādītāju, iekļaujot pakalpojuma vispārējo vērtējumu, vidējo vērtējumu par pakalpojuma aspektiem, vidējo vērtējumu par klientu apkalpošanas speciālista darbu raksturojošiem faktoriem dažādās klientu grupās- pēc demogrāfiskajiem datiem un pēc reģionālā sadalījuma, kur tika saņemts pakalpojums.</w:t>
      </w:r>
    </w:p>
    <w:p w:rsidR="0038240D" w:rsidRDefault="0038240D" w:rsidP="00CC2F8C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</w:p>
    <w:p w:rsidR="00CC2F8C" w:rsidRDefault="0038240D" w:rsidP="00CC2F8C">
      <w:pPr>
        <w:pStyle w:val="ListParagraph"/>
        <w:spacing w:after="0"/>
        <w:ind w:left="1004" w:right="140"/>
        <w:jc w:val="both"/>
        <w:rPr>
          <w:rFonts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ED62E1" wp14:editId="33F72F1A">
            <wp:extent cx="8051180" cy="4003040"/>
            <wp:effectExtent l="0" t="0" r="6985" b="1651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D6ADF" w:rsidRDefault="0038240D">
      <w:pPr>
        <w:rPr>
          <w:rFonts w:eastAsiaTheme="minorEastAsia" w:cs="Times New Roman"/>
          <w:sz w:val="24"/>
          <w:szCs w:val="24"/>
          <w:lang w:eastAsia="lv-LV"/>
        </w:rPr>
      </w:pPr>
      <w:r>
        <w:rPr>
          <w:noProof/>
          <w:lang w:eastAsia="lv-LV"/>
        </w:rPr>
        <w:lastRenderedPageBreak/>
        <w:drawing>
          <wp:inline distT="0" distB="0" distL="0" distR="0" wp14:anchorId="426C8659" wp14:editId="586AD481">
            <wp:extent cx="8206988" cy="5934075"/>
            <wp:effectExtent l="0" t="0" r="3810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sectPr w:rsidR="002D6ADF" w:rsidSect="002D6AD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007"/>
    <w:multiLevelType w:val="hybridMultilevel"/>
    <w:tmpl w:val="122C82DC"/>
    <w:lvl w:ilvl="0" w:tplc="92CAE1A6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60E73E21"/>
    <w:multiLevelType w:val="multilevel"/>
    <w:tmpl w:val="7362DB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11A4935"/>
    <w:multiLevelType w:val="hybridMultilevel"/>
    <w:tmpl w:val="F52C3F46"/>
    <w:lvl w:ilvl="0" w:tplc="92CAE1A6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ADF"/>
    <w:rsid w:val="002D6ADF"/>
    <w:rsid w:val="0038240D"/>
    <w:rsid w:val="00776263"/>
    <w:rsid w:val="007B2678"/>
    <w:rsid w:val="007D43F4"/>
    <w:rsid w:val="00CC2F8C"/>
    <w:rsid w:val="00D7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644D"/>
  <w15:chartTrackingRefBased/>
  <w15:docId w15:val="{A3B3B72C-8359-4B27-8537-E035E1DA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A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ADF"/>
    <w:pPr>
      <w:spacing w:after="200" w:line="276" w:lineRule="auto"/>
      <w:ind w:left="720"/>
      <w:contextualSpacing/>
    </w:pPr>
    <w:rPr>
      <w:rFonts w:eastAsiaTheme="minorEastAsia"/>
      <w:lang w:eastAsia="lv-LV"/>
    </w:rPr>
  </w:style>
  <w:style w:type="table" w:styleId="TableGrid">
    <w:name w:val="Table Grid"/>
    <w:basedOn w:val="TableNormal"/>
    <w:uiPriority w:val="39"/>
    <w:rsid w:val="002D6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visidati.lv" TargetMode="External"/><Relationship Id="rId11" Type="http://schemas.openxmlformats.org/officeDocument/2006/relationships/chart" Target="charts/chart5.xml"/><Relationship Id="rId5" Type="http://schemas.openxmlformats.org/officeDocument/2006/relationships/image" Target="media/image1.jpeg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8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9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1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2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3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4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5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6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333333333333334E-2"/>
          <c:y val="7.407407407407407E-2"/>
          <c:w val="0.93888888888888888"/>
          <c:h val="0.68910469524642748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>
              <a:bevelT w="63500" h="25400"/>
            </a:sp3d>
          </c:spPr>
          <c:invertIfNegative val="0"/>
          <c:cat>
            <c:strRef>
              <c:f>Sheet1!$A$1:$A$4</c:f>
              <c:strCache>
                <c:ptCount val="4"/>
                <c:pt idx="0">
                  <c:v>1.1 Noformēju LR pilsoņa / nepilsoņa pasi / eID</c:v>
                </c:pt>
                <c:pt idx="1">
                  <c:v>1.2. Saņēmu sagatavoto pasi / personas apliecību</c:v>
                </c:pt>
                <c:pt idx="2">
                  <c:v>1.3. Noformēju ārzemnieka uzturēšanās atļaujas karti</c:v>
                </c:pt>
                <c:pt idx="3">
                  <c:v>1.4. Saņēmu ārzemnieka uzturēšanās atļaujas karti</c:v>
                </c:pt>
              </c:strCache>
            </c:strRef>
          </c:cat>
          <c:val>
            <c:numRef>
              <c:f>Sheet1!$B$1:$B$4</c:f>
              <c:numCache>
                <c:formatCode>General</c:formatCode>
                <c:ptCount val="4"/>
                <c:pt idx="0">
                  <c:v>573</c:v>
                </c:pt>
                <c:pt idx="1">
                  <c:v>217</c:v>
                </c:pt>
                <c:pt idx="2">
                  <c:v>117</c:v>
                </c:pt>
                <c:pt idx="3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1A-4A86-ABBA-3019EE904F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620169296"/>
        <c:axId val="536413792"/>
      </c:barChart>
      <c:catAx>
        <c:axId val="620169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536413792"/>
        <c:crosses val="autoZero"/>
        <c:auto val="1"/>
        <c:lblAlgn val="ctr"/>
        <c:lblOffset val="100"/>
        <c:noMultiLvlLbl val="0"/>
      </c:catAx>
      <c:valAx>
        <c:axId val="5364137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20169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  <c:userShapes r:id="rId4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strRef>
          <c:f>'6 un dem'!$A$4</c:f>
          <c:strCache>
            <c:ptCount val="1"/>
            <c:pt idx="0">
              <c:v>1.1. Noformēju LR pilsoņa / nepilsoņa pasi / eID</c:v>
            </c:pt>
          </c:strCache>
        </c:strRef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"/>
          <c:y val="0.10018872316318846"/>
          <c:w val="1"/>
          <c:h val="0.780164421072756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 un dem'!$A$11:$B$11</c:f>
              <c:strCache>
                <c:ptCount val="2"/>
                <c:pt idx="0">
                  <c:v>1.1. Noformēju LR pilsoņa / nepilsoņa pasi / eID</c:v>
                </c:pt>
                <c:pt idx="1">
                  <c:v>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6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EC14-40C0-AC16-63A4BC94A15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'6 un dem'!$C$10:$I$10</c:f>
              <c:strCache>
                <c:ptCount val="7"/>
                <c:pt idx="0">
                  <c:v>6.1. Darba kvalitāte kopumā</c:v>
                </c:pt>
                <c:pt idx="1">
                  <c:v>6.2. Kompetence un profesionalitāte</c:v>
                </c:pt>
                <c:pt idx="2">
                  <c:v>6.3. Pieklājība</c:v>
                </c:pt>
                <c:pt idx="3">
                  <c:v>6.4. Attieksme (pozitīva, labvēlīga, ieinteresēta)</c:v>
                </c:pt>
                <c:pt idx="4">
                  <c:v>6.5. Apkalpošanas kultūra</c:v>
                </c:pt>
                <c:pt idx="5">
                  <c:v>6.6. Informācijas sniegšana un izskaidrošana</c:v>
                </c:pt>
                <c:pt idx="6">
                  <c:v>Vidēji</c:v>
                </c:pt>
              </c:strCache>
            </c:strRef>
          </c:cat>
          <c:val>
            <c:numRef>
              <c:f>'6 un dem'!$C$11:$I$11</c:f>
              <c:numCache>
                <c:formatCode>0.00</c:formatCode>
                <c:ptCount val="7"/>
                <c:pt idx="0">
                  <c:v>5.6125654450261777</c:v>
                </c:pt>
                <c:pt idx="1">
                  <c:v>5.6527050610820249</c:v>
                </c:pt>
                <c:pt idx="2">
                  <c:v>5.6858638743455501</c:v>
                </c:pt>
                <c:pt idx="3">
                  <c:v>5.6590909090909092</c:v>
                </c:pt>
                <c:pt idx="4">
                  <c:v>5.673647469458988</c:v>
                </c:pt>
                <c:pt idx="5">
                  <c:v>5.6300174520069808</c:v>
                </c:pt>
                <c:pt idx="6">
                  <c:v>5.6524141942990109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14-40C0-AC16-63A4BC94A1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-629956336"/>
        <c:axId val="-629955792"/>
      </c:barChart>
      <c:catAx>
        <c:axId val="-629956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29955792"/>
        <c:crosses val="autoZero"/>
        <c:auto val="1"/>
        <c:lblAlgn val="ctr"/>
        <c:lblOffset val="100"/>
        <c:noMultiLvlLbl val="0"/>
      </c:catAx>
      <c:valAx>
        <c:axId val="-629955792"/>
        <c:scaling>
          <c:orientation val="minMax"/>
        </c:scaling>
        <c:delete val="1"/>
        <c:axPos val="l"/>
        <c:numFmt formatCode="0.00" sourceLinked="1"/>
        <c:majorTickMark val="none"/>
        <c:minorTickMark val="none"/>
        <c:tickLblPos val="nextTo"/>
        <c:crossAx val="-629956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strRef>
          <c:f>'2+4+6'!$A$69</c:f>
          <c:strCache>
            <c:ptCount val="1"/>
            <c:pt idx="0">
              <c:v>Kopējā apmierinātība un atsevišķi rādītāji</c:v>
            </c:pt>
          </c:strCache>
        </c:strRef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areaChart>
        <c:grouping val="stacked"/>
        <c:varyColors val="0"/>
        <c:ser>
          <c:idx val="1"/>
          <c:order val="1"/>
          <c:spPr>
            <a:solidFill>
              <a:schemeClr val="accent3">
                <a:lumMod val="50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cat>
            <c:strRef>
              <c:f>'2+4+6'!$C$77:$F$77</c:f>
              <c:strCache>
                <c:ptCount val="4"/>
                <c:pt idx="0">
                  <c:v>4. Novērtējiet, cik lielā mērā Jūs apmierina šie aspekti PMLP!</c:v>
                </c:pt>
                <c:pt idx="1">
                  <c:v>6. Lūdzu, novērtējiet, cik lielā mērā jūs apmierināja klientu apkalpošanas speciālista darbs!</c:v>
                </c:pt>
                <c:pt idx="2">
                  <c:v>2. Lūdzu, novērtējiet saņemtā pakalpojuma kvalitāti kopumā!</c:v>
                </c:pt>
                <c:pt idx="3">
                  <c:v>Kopējā apmierinātība(2., 4., 6.)</c:v>
                </c:pt>
              </c:strCache>
            </c:strRef>
          </c:cat>
          <c:val>
            <c:numRef>
              <c:f>'2+4+6'!$C$79:$F$79</c:f>
              <c:numCache>
                <c:formatCode>0.00</c:formatCode>
                <c:ptCount val="4"/>
                <c:pt idx="0">
                  <c:v>5.2235265234765285</c:v>
                </c:pt>
                <c:pt idx="1">
                  <c:v>5.2235265234765285</c:v>
                </c:pt>
                <c:pt idx="2">
                  <c:v>5.2235265234765285</c:v>
                </c:pt>
                <c:pt idx="3">
                  <c:v>5.2235265234765285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B6-4062-98F6-EC5E342D98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629926416"/>
        <c:axId val="-629928048"/>
      </c:areaChart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2-EDB6-4062-98F6-EC5E342D9887}"/>
              </c:ext>
            </c:extLst>
          </c:dPt>
          <c:dPt>
            <c:idx val="2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4-EDB6-4062-98F6-EC5E342D988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3">
                  <a:lumMod val="5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6-EDB6-4062-98F6-EC5E342D9887}"/>
              </c:ext>
            </c:extLst>
          </c:dPt>
          <c:dLbls>
            <c:dLbl>
              <c:idx val="3"/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EDB6-4062-98F6-EC5E342D9887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'2+4+6'!$C$77:$F$77</c:f>
              <c:strCache>
                <c:ptCount val="4"/>
                <c:pt idx="0">
                  <c:v>4. Novērtējiet, cik lielā mērā Jūs apmierina šie aspekti PMLP!</c:v>
                </c:pt>
                <c:pt idx="1">
                  <c:v>6. Lūdzu, novērtējiet, cik lielā mērā jūs apmierināja klientu apkalpošanas speciālista darbs!</c:v>
                </c:pt>
                <c:pt idx="2">
                  <c:v>2. Lūdzu, novērtējiet saņemtā pakalpojuma kvalitāti kopumā!</c:v>
                </c:pt>
                <c:pt idx="3">
                  <c:v>Kopējā apmierinātība(2., 4., 6.)</c:v>
                </c:pt>
              </c:strCache>
            </c:strRef>
          </c:cat>
          <c:val>
            <c:numRef>
              <c:f>'2+4+6'!$C$78:$F$78</c:f>
              <c:numCache>
                <c:formatCode>0.00</c:formatCode>
                <c:ptCount val="4"/>
                <c:pt idx="0">
                  <c:v>4.8730071165878588</c:v>
                </c:pt>
                <c:pt idx="1">
                  <c:v>5.6083166666666653</c:v>
                </c:pt>
                <c:pt idx="2">
                  <c:v>5.3275686673448623</c:v>
                </c:pt>
                <c:pt idx="3">
                  <c:v>5.2235265234765285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DB6-4062-98F6-EC5E342D98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9"/>
        <c:overlap val="-27"/>
        <c:axId val="-629926416"/>
        <c:axId val="-629928048"/>
      </c:barChart>
      <c:catAx>
        <c:axId val="-629926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29928048"/>
        <c:crosses val="autoZero"/>
        <c:auto val="1"/>
        <c:lblAlgn val="ctr"/>
        <c:lblOffset val="100"/>
        <c:noMultiLvlLbl val="0"/>
      </c:catAx>
      <c:valAx>
        <c:axId val="-629928048"/>
        <c:scaling>
          <c:orientation val="minMax"/>
        </c:scaling>
        <c:delete val="1"/>
        <c:axPos val="l"/>
        <c:numFmt formatCode="0.00" sourceLinked="1"/>
        <c:majorTickMark val="none"/>
        <c:minorTickMark val="none"/>
        <c:tickLblPos val="nextTo"/>
        <c:crossAx val="-629926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strRef>
          <c:f>'2+4+6 dem'!$J$54</c:f>
          <c:strCache>
            <c:ptCount val="1"/>
            <c:pt idx="0">
              <c:v>Kopējā apmierinātība</c:v>
            </c:pt>
          </c:strCache>
        </c:strRef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1.4414493452942339E-2"/>
          <c:y val="5.745815480930052E-2"/>
          <c:w val="0.98558552055992998"/>
          <c:h val="0.73351825104702151"/>
        </c:manualLayout>
      </c:layout>
      <c:lineChart>
        <c:grouping val="standard"/>
        <c:varyColors val="0"/>
        <c:ser>
          <c:idx val="0"/>
          <c:order val="0"/>
          <c:tx>
            <c:strRef>
              <c:f>'2+4+6 dem'!$J$56</c:f>
              <c:strCache>
                <c:ptCount val="1"/>
                <c:pt idx="0">
                  <c:v>1. Pakalpojuma kvalitātes vidējais vērtējums</c:v>
                </c:pt>
              </c:strCache>
            </c:strRef>
          </c:tx>
          <c:spPr>
            <a:ln w="34925" cap="rnd">
              <a:solidFill>
                <a:srgbClr val="00B050"/>
              </a:solidFill>
              <a:round/>
              <a:tailEnd type="triangle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diamond"/>
            <c:size val="5"/>
            <c:spPr>
              <a:solidFill>
                <a:srgbClr val="00B050"/>
              </a:solidFill>
              <a:ln w="9525">
                <a:solidFill>
                  <a:srgbClr val="00B050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dLbls>
            <c:dLbl>
              <c:idx val="0"/>
              <c:layout>
                <c:manualLayout>
                  <c:x val="-8.5482720909886262E-2"/>
                  <c:y val="-1.84089414858645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0C0-419B-9DD5-F87DBBB5EF0C}"/>
                </c:ext>
              </c:extLst>
            </c:dLbl>
            <c:dLbl>
              <c:idx val="1"/>
              <c:layout>
                <c:manualLayout>
                  <c:x val="-5.6875109361329834E-2"/>
                  <c:y val="-2.97293015887806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0C0-419B-9DD5-F87DBBB5EF0C}"/>
                </c:ext>
              </c:extLst>
            </c:dLbl>
            <c:dLbl>
              <c:idx val="2"/>
              <c:layout>
                <c:manualLayout>
                  <c:x val="-4.4305555555555556E-2"/>
                  <c:y val="-2.6298487836949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0C0-419B-9DD5-F87DBBB5EF0C}"/>
                </c:ext>
              </c:extLst>
            </c:dLbl>
            <c:dLbl>
              <c:idx val="3"/>
              <c:layout>
                <c:manualLayout>
                  <c:x val="-5.1250109361329836E-2"/>
                  <c:y val="-2.103868673220583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rgbClr val="00B05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638888888888882E-2"/>
                      <c:h val="4.466808512841219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C0C0-419B-9DD5-F87DBBB5EF0C}"/>
                </c:ext>
              </c:extLst>
            </c:dLbl>
            <c:dLbl>
              <c:idx val="4"/>
              <c:layout>
                <c:manualLayout>
                  <c:x val="-4.1752997091579772E-2"/>
                  <c:y val="3.68178829717291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0C0-419B-9DD5-F87DBBB5EF0C}"/>
                </c:ext>
              </c:extLst>
            </c:dLbl>
            <c:dLbl>
              <c:idx val="5"/>
              <c:layout>
                <c:manualLayout>
                  <c:x val="-4.4305555555555556E-2"/>
                  <c:y val="4.47074293228139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0C0-419B-9DD5-F87DBBB5EF0C}"/>
                </c:ext>
              </c:extLst>
            </c:dLbl>
            <c:dLbl>
              <c:idx val="6"/>
              <c:layout>
                <c:manualLayout>
                  <c:x val="-2.919013501690667E-2"/>
                  <c:y val="2.6298487836949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0C0-419B-9DD5-F87DBBB5EF0C}"/>
                </c:ext>
              </c:extLst>
            </c:dLbl>
            <c:dLbl>
              <c:idx val="7"/>
              <c:layout>
                <c:manualLayout>
                  <c:x val="-1.3260498687664246E-2"/>
                  <c:y val="-4.47074293228140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0C0-419B-9DD5-F87DBBB5EF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0B05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l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'2+4+6 dem'!$K$55:$R$55</c:f>
              <c:strCache>
                <c:ptCount val="8"/>
                <c:pt idx="0">
                  <c:v>2014. gads</c:v>
                </c:pt>
                <c:pt idx="1">
                  <c:v>2015. gads</c:v>
                </c:pt>
                <c:pt idx="2">
                  <c:v>2016. gads</c:v>
                </c:pt>
                <c:pt idx="3">
                  <c:v>2017. gads</c:v>
                </c:pt>
                <c:pt idx="4">
                  <c:v>2018. gads</c:v>
                </c:pt>
                <c:pt idx="5">
                  <c:v>2019. gads</c:v>
                </c:pt>
                <c:pt idx="6">
                  <c:v>2020. gads</c:v>
                </c:pt>
                <c:pt idx="7">
                  <c:v>2021. gads</c:v>
                </c:pt>
              </c:strCache>
            </c:strRef>
          </c:cat>
          <c:val>
            <c:numRef>
              <c:f>'2+4+6 dem'!$K$56:$R$56</c:f>
              <c:numCache>
                <c:formatCode>General</c:formatCode>
                <c:ptCount val="8"/>
                <c:pt idx="0">
                  <c:v>5.44</c:v>
                </c:pt>
                <c:pt idx="1">
                  <c:v>5.47</c:v>
                </c:pt>
                <c:pt idx="2">
                  <c:v>5.61</c:v>
                </c:pt>
                <c:pt idx="3">
                  <c:v>5.62</c:v>
                </c:pt>
                <c:pt idx="4">
                  <c:v>5.47</c:v>
                </c:pt>
                <c:pt idx="5">
                  <c:v>5.27</c:v>
                </c:pt>
                <c:pt idx="6">
                  <c:v>5.27</c:v>
                </c:pt>
                <c:pt idx="7" formatCode="0.00">
                  <c:v>5.3275686673448623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C0C0-419B-9DD5-F87DBBB5EF0C}"/>
            </c:ext>
          </c:extLst>
        </c:ser>
        <c:ser>
          <c:idx val="1"/>
          <c:order val="1"/>
          <c:tx>
            <c:strRef>
              <c:f>'2+4+6 dem'!$J$57</c:f>
              <c:strCache>
                <c:ptCount val="1"/>
                <c:pt idx="0">
                  <c:v>3. Pakalpojuma aspektu vērtējums</c:v>
                </c:pt>
              </c:strCache>
            </c:strRef>
          </c:tx>
          <c:spPr>
            <a:ln w="34925" cap="rnd">
              <a:solidFill>
                <a:schemeClr val="accent6">
                  <a:lumMod val="75000"/>
                </a:schemeClr>
              </a:solidFill>
              <a:round/>
              <a:tailEnd type="triangle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diamond"/>
            <c:size val="5"/>
            <c:spPr>
              <a:solidFill>
                <a:schemeClr val="accent6">
                  <a:lumMod val="50000"/>
                </a:schemeClr>
              </a:solidFill>
              <a:ln w="9525">
                <a:solidFill>
                  <a:schemeClr val="accent6">
                    <a:lumMod val="75000"/>
                  </a:schemeClr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dLbls>
            <c:dLbl>
              <c:idx val="0"/>
              <c:layout>
                <c:manualLayout>
                  <c:x val="-9.2986220472440942E-2"/>
                  <c:y val="-2.349445902595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0C0-419B-9DD5-F87DBBB5EF0C}"/>
                </c:ext>
              </c:extLst>
            </c:dLbl>
            <c:dLbl>
              <c:idx val="1"/>
              <c:layout>
                <c:manualLayout>
                  <c:x val="-3.1875109361329833E-2"/>
                  <c:y val="3.520808419657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0C0-419B-9DD5-F87DBBB5EF0C}"/>
                </c:ext>
              </c:extLst>
            </c:dLbl>
            <c:dLbl>
              <c:idx val="7"/>
              <c:layout>
                <c:manualLayout>
                  <c:x val="-8.3005249343852394E-4"/>
                  <c:y val="-3.964445272743273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0C0-419B-9DD5-F87DBBB5EF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6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'2+4+6 dem'!$K$55:$R$55</c:f>
              <c:strCache>
                <c:ptCount val="8"/>
                <c:pt idx="0">
                  <c:v>2014. gads</c:v>
                </c:pt>
                <c:pt idx="1">
                  <c:v>2015. gads</c:v>
                </c:pt>
                <c:pt idx="2">
                  <c:v>2016. gads</c:v>
                </c:pt>
                <c:pt idx="3">
                  <c:v>2017. gads</c:v>
                </c:pt>
                <c:pt idx="4">
                  <c:v>2018. gads</c:v>
                </c:pt>
                <c:pt idx="5">
                  <c:v>2019. gads</c:v>
                </c:pt>
                <c:pt idx="6">
                  <c:v>2020. gads</c:v>
                </c:pt>
                <c:pt idx="7">
                  <c:v>2021. gads</c:v>
                </c:pt>
              </c:strCache>
            </c:strRef>
          </c:cat>
          <c:val>
            <c:numRef>
              <c:f>'2+4+6 dem'!$K$57:$R$57</c:f>
              <c:numCache>
                <c:formatCode>General</c:formatCode>
                <c:ptCount val="8"/>
                <c:pt idx="0">
                  <c:v>5.22</c:v>
                </c:pt>
                <c:pt idx="1">
                  <c:v>5.27</c:v>
                </c:pt>
                <c:pt idx="2">
                  <c:v>5.31</c:v>
                </c:pt>
                <c:pt idx="3">
                  <c:v>5.24</c:v>
                </c:pt>
                <c:pt idx="4">
                  <c:v>5.0599999999999996</c:v>
                </c:pt>
                <c:pt idx="5" formatCode="0.00">
                  <c:v>5</c:v>
                </c:pt>
                <c:pt idx="6">
                  <c:v>5.0599999999999996</c:v>
                </c:pt>
                <c:pt idx="7" formatCode="0.00">
                  <c:v>4.873337189126663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C0C0-419B-9DD5-F87DBBB5EF0C}"/>
            </c:ext>
          </c:extLst>
        </c:ser>
        <c:ser>
          <c:idx val="2"/>
          <c:order val="2"/>
          <c:tx>
            <c:strRef>
              <c:f>'2+4+6 dem'!$J$58</c:f>
              <c:strCache>
                <c:ptCount val="1"/>
                <c:pt idx="0">
                  <c:v>4. Klientu apkalpošanas speciālistu darba vērtējums (vidēji par 1 faktoru)</c:v>
                </c:pt>
              </c:strCache>
            </c:strRef>
          </c:tx>
          <c:spPr>
            <a:ln w="34925" cap="rnd">
              <a:solidFill>
                <a:srgbClr val="002060"/>
              </a:solidFill>
              <a:round/>
              <a:headEnd type="none"/>
              <a:tailEnd type="triangle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diamond"/>
            <c:size val="5"/>
            <c:spPr>
              <a:solidFill>
                <a:srgbClr val="002060"/>
              </a:solidFill>
              <a:ln w="9525">
                <a:solidFill>
                  <a:srgbClr val="002060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dLbls>
            <c:dLbl>
              <c:idx val="0"/>
              <c:layout>
                <c:manualLayout>
                  <c:x val="-9.5763998250218724E-2"/>
                  <c:y val="-1.6169072615923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0C0-419B-9DD5-F87DBBB5EF0C}"/>
                </c:ext>
              </c:extLst>
            </c:dLbl>
            <c:dLbl>
              <c:idx val="1"/>
              <c:layout>
                <c:manualLayout>
                  <c:x val="-4.5763998250218721E-2"/>
                  <c:y val="-2.857858743988363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rgbClr val="00206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0972222222222219E-2"/>
                      <c:h val="4.203823634471726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C0C0-419B-9DD5-F87DBBB5EF0C}"/>
                </c:ext>
              </c:extLst>
            </c:dLbl>
            <c:dLbl>
              <c:idx val="7"/>
              <c:layout>
                <c:manualLayout>
                  <c:x val="-8.3005249343852394E-4"/>
                  <c:y val="-1.44444962131213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0C0-419B-9DD5-F87DBBB5EF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0206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'2+4+6 dem'!$K$55:$R$55</c:f>
              <c:strCache>
                <c:ptCount val="8"/>
                <c:pt idx="0">
                  <c:v>2014. gads</c:v>
                </c:pt>
                <c:pt idx="1">
                  <c:v>2015. gads</c:v>
                </c:pt>
                <c:pt idx="2">
                  <c:v>2016. gads</c:v>
                </c:pt>
                <c:pt idx="3">
                  <c:v>2017. gads</c:v>
                </c:pt>
                <c:pt idx="4">
                  <c:v>2018. gads</c:v>
                </c:pt>
                <c:pt idx="5">
                  <c:v>2019. gads</c:v>
                </c:pt>
                <c:pt idx="6">
                  <c:v>2020. gads</c:v>
                </c:pt>
                <c:pt idx="7">
                  <c:v>2021. gads</c:v>
                </c:pt>
              </c:strCache>
            </c:strRef>
          </c:cat>
          <c:val>
            <c:numRef>
              <c:f>'2+4+6 dem'!$K$58:$R$58</c:f>
              <c:numCache>
                <c:formatCode>General</c:formatCode>
                <c:ptCount val="8"/>
                <c:pt idx="0">
                  <c:v>5.61</c:v>
                </c:pt>
                <c:pt idx="1">
                  <c:v>5.67</c:v>
                </c:pt>
                <c:pt idx="2">
                  <c:v>5.74</c:v>
                </c:pt>
                <c:pt idx="3">
                  <c:v>5.71</c:v>
                </c:pt>
                <c:pt idx="4">
                  <c:v>5.58</c:v>
                </c:pt>
                <c:pt idx="5">
                  <c:v>5.68</c:v>
                </c:pt>
                <c:pt idx="6">
                  <c:v>5.66</c:v>
                </c:pt>
                <c:pt idx="7" formatCode="0.00">
                  <c:v>5.6086086086086082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C0C0-419B-9DD5-F87DBBB5EF0C}"/>
            </c:ext>
          </c:extLst>
        </c:ser>
        <c:ser>
          <c:idx val="3"/>
          <c:order val="3"/>
          <c:tx>
            <c:strRef>
              <c:f>'2+4+6 dem'!$J$59</c:f>
              <c:strCache>
                <c:ptCount val="1"/>
                <c:pt idx="0">
                  <c:v>Kopējais apmierinātības vērtējums</c:v>
                </c:pt>
              </c:strCache>
            </c:strRef>
          </c:tx>
          <c:spPr>
            <a:ln w="38100" cap="rnd">
              <a:solidFill>
                <a:schemeClr val="accent3">
                  <a:lumMod val="50000"/>
                </a:schemeClr>
              </a:solidFill>
              <a:prstDash val="sysDot"/>
              <a:round/>
              <a:tailEnd type="triangle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diamond"/>
            <c:size val="5"/>
            <c:spPr>
              <a:solidFill>
                <a:schemeClr val="accent3">
                  <a:lumMod val="50000"/>
                </a:schemeClr>
              </a:solidFill>
              <a:ln w="9525">
                <a:solidFill>
                  <a:schemeClr val="accent3">
                    <a:lumMod val="50000"/>
                  </a:schemeClr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dLbls>
            <c:dLbl>
              <c:idx val="0"/>
              <c:layout>
                <c:manualLayout>
                  <c:x val="-9.4444444444444442E-2"/>
                  <c:y val="-4.243778136006664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0C0-419B-9DD5-F87DBBB5EF0C}"/>
                </c:ext>
              </c:extLst>
            </c:dLbl>
            <c:dLbl>
              <c:idx val="1"/>
              <c:layout>
                <c:manualLayout>
                  <c:x val="-4.4444444444444446E-2"/>
                  <c:y val="3.8598518380468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C0C0-419B-9DD5-F87DBBB5EF0C}"/>
                </c:ext>
              </c:extLst>
            </c:dLbl>
            <c:dLbl>
              <c:idx val="2"/>
              <c:layout>
                <c:manualLayout>
                  <c:x val="-3.3783074412996115E-3"/>
                  <c:y val="-1.05193951347797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C0C0-419B-9DD5-F87DBBB5EF0C}"/>
                </c:ext>
              </c:extLst>
            </c:dLbl>
            <c:dLbl>
              <c:idx val="4"/>
              <c:layout>
                <c:manualLayout>
                  <c:x val="-2.5000000000000001E-2"/>
                  <c:y val="2.89283366206443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C0C0-419B-9DD5-F87DBBB5EF0C}"/>
                </c:ext>
              </c:extLst>
            </c:dLbl>
            <c:dLbl>
              <c:idx val="5"/>
              <c:layout>
                <c:manualLayout>
                  <c:x val="-4.4444444444444446E-2"/>
                  <c:y val="-2.89283366206443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C0C0-419B-9DD5-F87DBBB5EF0C}"/>
                </c:ext>
              </c:extLst>
            </c:dLbl>
            <c:dLbl>
              <c:idx val="6"/>
              <c:layout>
                <c:manualLayout>
                  <c:x val="-4.3243243243243329E-2"/>
                  <c:y val="-2.62984878369493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C0C0-419B-9DD5-F87DBBB5EF0C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3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'2+4+6 dem'!$K$55:$R$55</c:f>
              <c:strCache>
                <c:ptCount val="8"/>
                <c:pt idx="0">
                  <c:v>2014. gads</c:v>
                </c:pt>
                <c:pt idx="1">
                  <c:v>2015. gads</c:v>
                </c:pt>
                <c:pt idx="2">
                  <c:v>2016. gads</c:v>
                </c:pt>
                <c:pt idx="3">
                  <c:v>2017. gads</c:v>
                </c:pt>
                <c:pt idx="4">
                  <c:v>2018. gads</c:v>
                </c:pt>
                <c:pt idx="5">
                  <c:v>2019. gads</c:v>
                </c:pt>
                <c:pt idx="6">
                  <c:v>2020. gads</c:v>
                </c:pt>
                <c:pt idx="7">
                  <c:v>2021. gads</c:v>
                </c:pt>
              </c:strCache>
            </c:strRef>
          </c:cat>
          <c:val>
            <c:numRef>
              <c:f>'2+4+6 dem'!$K$59:$R$59</c:f>
              <c:numCache>
                <c:formatCode>General</c:formatCode>
                <c:ptCount val="8"/>
                <c:pt idx="0">
                  <c:v>5.39</c:v>
                </c:pt>
                <c:pt idx="1">
                  <c:v>5.44</c:v>
                </c:pt>
                <c:pt idx="2">
                  <c:v>5.48</c:v>
                </c:pt>
                <c:pt idx="3">
                  <c:v>5.43</c:v>
                </c:pt>
                <c:pt idx="4">
                  <c:v>5.25</c:v>
                </c:pt>
                <c:pt idx="5">
                  <c:v>5.29</c:v>
                </c:pt>
                <c:pt idx="6">
                  <c:v>5.33</c:v>
                </c:pt>
                <c:pt idx="7" formatCode="0.00">
                  <c:v>5.2235265234765311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C0C0-419B-9DD5-F87DBBB5EF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gradFill>
                <a:gsLst>
                  <a:gs pos="0">
                    <a:schemeClr val="accent1">
                      <a:lumMod val="5000"/>
                      <a:lumOff val="95000"/>
                    </a:schemeClr>
                  </a:gs>
                  <a:gs pos="74000">
                    <a:schemeClr val="accent1">
                      <a:lumMod val="45000"/>
                      <a:lumOff val="55000"/>
                    </a:schemeClr>
                  </a:gs>
                  <a:gs pos="83000">
                    <a:schemeClr val="accent1">
                      <a:lumMod val="45000"/>
                      <a:lumOff val="55000"/>
                    </a:schemeClr>
                  </a:gs>
                  <a:gs pos="100000">
                    <a:schemeClr val="accent1">
                      <a:lumMod val="30000"/>
                      <a:lumOff val="70000"/>
                    </a:schemeClr>
                  </a:gs>
                </a:gsLst>
                <a:lin ang="5400000" scaled="1"/>
              </a:gradFill>
              <a:prstDash val="lgDash"/>
              <a:round/>
            </a:ln>
            <a:effectLst/>
          </c:spPr>
        </c:dropLines>
        <c:marker val="1"/>
        <c:smooth val="0"/>
        <c:axId val="-620692736"/>
        <c:axId val="-620697088"/>
      </c:lineChart>
      <c:catAx>
        <c:axId val="-62069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20697088"/>
        <c:crosses val="autoZero"/>
        <c:auto val="1"/>
        <c:lblAlgn val="ctr"/>
        <c:lblOffset val="100"/>
        <c:noMultiLvlLbl val="0"/>
      </c:catAx>
      <c:valAx>
        <c:axId val="-620697088"/>
        <c:scaling>
          <c:orientation val="minMax"/>
          <c:max val="6"/>
          <c:min val="4.2"/>
        </c:scaling>
        <c:delete val="1"/>
        <c:axPos val="l"/>
        <c:numFmt formatCode="General" sourceLinked="1"/>
        <c:majorTickMark val="out"/>
        <c:minorTickMark val="none"/>
        <c:tickLblPos val="nextTo"/>
        <c:crossAx val="-620692736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5280839895013131E-2"/>
          <c:y val="0.84889095963596262"/>
          <c:w val="0.97253105861767275"/>
          <c:h val="0.151109040364037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spPr>
            <a:solidFill>
              <a:srgbClr val="92D05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21E6-4DA9-A087-82DA8B72359C}"/>
              </c:ext>
            </c:extLst>
          </c:dPt>
          <c:dPt>
            <c:idx val="1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21E6-4DA9-A087-82DA8B72359C}"/>
              </c:ext>
            </c:extLst>
          </c:dPt>
          <c:dPt>
            <c:idx val="3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21E6-4DA9-A087-82DA8B72359C}"/>
              </c:ext>
            </c:extLst>
          </c:dPt>
          <c:dPt>
            <c:idx val="4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21E6-4DA9-A087-82DA8B72359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21E6-4DA9-A087-82DA8B7235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'2'!$C$39:$H$39</c:f>
              <c:numCache>
                <c:formatCode>General</c:formatCode>
                <c:ptCount val="6"/>
                <c:pt idx="0">
                  <c:v>6</c:v>
                </c:pt>
                <c:pt idx="1">
                  <c:v>16</c:v>
                </c:pt>
                <c:pt idx="2">
                  <c:v>25</c:v>
                </c:pt>
                <c:pt idx="3">
                  <c:v>94</c:v>
                </c:pt>
                <c:pt idx="4">
                  <c:v>304</c:v>
                </c:pt>
                <c:pt idx="5">
                  <c:v>538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1E6-4DA9-A087-82DA8B7235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-24"/>
        <c:axId val="-661851616"/>
        <c:axId val="-66185923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gradFill rotWithShape="1">
                    <a:gsLst>
                      <a:gs pos="0">
                        <a:schemeClr val="accent1">
                          <a:shade val="51000"/>
                          <a:satMod val="130000"/>
                        </a:schemeClr>
                      </a:gs>
                      <a:gs pos="80000">
                        <a:schemeClr val="accent1">
                          <a:shade val="93000"/>
                          <a:satMod val="130000"/>
                        </a:schemeClr>
                      </a:gs>
                      <a:gs pos="100000">
                        <a:schemeClr val="accent1">
                          <a:shade val="94000"/>
                          <a:satMod val="135000"/>
                        </a:schemeClr>
                      </a:gs>
                    </a:gsLst>
                    <a:lin ang="16200000" scaled="0"/>
                  </a:gradFill>
                  <a:ln>
                    <a:noFill/>
                  </a:ln>
                  <a:effectLst>
                    <a:outerShdw blurRad="40000" dist="23000" dir="5400000" rotWithShape="0">
                      <a:srgbClr val="000000">
                        <a:alpha val="35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>
                      <a:rot lat="0" lon="0" rev="1200000"/>
                    </a:lightRig>
                  </a:scene3d>
                  <a:sp3d>
                    <a:bevelT w="63500" h="25400"/>
                  </a:sp3d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'2'!$C$38:$H$38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1</c:v>
                      </c:pt>
                      <c:pt idx="1">
                        <c:v>2</c:v>
                      </c:pt>
                      <c:pt idx="2">
                        <c:v>3</c:v>
                      </c:pt>
                      <c:pt idx="3">
                        <c:v>4</c:v>
                      </c:pt>
                      <c:pt idx="4">
                        <c:v>5</c:v>
                      </c:pt>
                      <c:pt idx="5">
                        <c:v>6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B-21E6-4DA9-A087-82DA8B72359C}"/>
                  </c:ext>
                </c:extLst>
              </c15:ser>
            </c15:filteredBarSeries>
          </c:ext>
        </c:extLst>
      </c:barChart>
      <c:catAx>
        <c:axId val="-66185161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61859232"/>
        <c:crosses val="autoZero"/>
        <c:auto val="1"/>
        <c:lblAlgn val="ctr"/>
        <c:lblOffset val="100"/>
        <c:noMultiLvlLbl val="0"/>
      </c:catAx>
      <c:valAx>
        <c:axId val="-661859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661851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6841733254366632"/>
          <c:y val="0.15880812975301165"/>
          <c:w val="0.61020987666307436"/>
          <c:h val="0.7004852278080625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'3 skaitl'!$N$3</c:f>
              <c:strCache>
                <c:ptCount val="1"/>
                <c:pt idx="0">
                  <c:v>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'3 skaitl'!$M$3:$M$10</c:f>
              <c:strCache>
                <c:ptCount val="7"/>
                <c:pt idx="0">
                  <c:v>3.1. PMLP teritoriālo nodaļu skaits</c:v>
                </c:pt>
                <c:pt idx="1">
                  <c:v>3.2. Telpu iekārtojums</c:v>
                </c:pt>
                <c:pt idx="2">
                  <c:v>3.3. Telpu pieejamība personām ar kustību traucējumiem</c:v>
                </c:pt>
                <c:pt idx="3">
                  <c:v>3.4. Iespēja pierakstīties pakalpojuma saņemšanai</c:v>
                </c:pt>
                <c:pt idx="4">
                  <c:v>3.5. Darba laiks</c:v>
                </c:pt>
                <c:pt idx="5">
                  <c:v>3.6. Pakalpojuma cena</c:v>
                </c:pt>
                <c:pt idx="6">
                  <c:v>3.7. Pakalpojuma saņemšanas termiņi</c:v>
                </c:pt>
              </c:strCache>
            </c:strRef>
          </c:cat>
          <c:val>
            <c:numRef>
              <c:f>'3 skaitl'!$N$3:$N$10</c:f>
              <c:numCache>
                <c:formatCode>General</c:formatCode>
                <c:ptCount val="7"/>
                <c:pt idx="0">
                  <c:v>42</c:v>
                </c:pt>
                <c:pt idx="1">
                  <c:v>30</c:v>
                </c:pt>
                <c:pt idx="2">
                  <c:v>60</c:v>
                </c:pt>
                <c:pt idx="3">
                  <c:v>12</c:v>
                </c:pt>
                <c:pt idx="4">
                  <c:v>11</c:v>
                </c:pt>
                <c:pt idx="5">
                  <c:v>12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B7-4657-93AC-4BEFE62CE9BB}"/>
            </c:ext>
          </c:extLst>
        </c:ser>
        <c:ser>
          <c:idx val="1"/>
          <c:order val="1"/>
          <c:tx>
            <c:strRef>
              <c:f>'3 skaitl'!$O$3</c:f>
              <c:strCache>
                <c:ptCount val="1"/>
                <c:pt idx="0">
                  <c:v>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'3 skaitl'!$M$3:$M$10</c:f>
              <c:strCache>
                <c:ptCount val="7"/>
                <c:pt idx="0">
                  <c:v>3.1. PMLP teritoriālo nodaļu skaits</c:v>
                </c:pt>
                <c:pt idx="1">
                  <c:v>3.2. Telpu iekārtojums</c:v>
                </c:pt>
                <c:pt idx="2">
                  <c:v>3.3. Telpu pieejamība personām ar kustību traucējumiem</c:v>
                </c:pt>
                <c:pt idx="3">
                  <c:v>3.4. Iespēja pierakstīties pakalpojuma saņemšanai</c:v>
                </c:pt>
                <c:pt idx="4">
                  <c:v>3.5. Darba laiks</c:v>
                </c:pt>
                <c:pt idx="5">
                  <c:v>3.6. Pakalpojuma cena</c:v>
                </c:pt>
                <c:pt idx="6">
                  <c:v>3.7. Pakalpojuma saņemšanas termiņi</c:v>
                </c:pt>
              </c:strCache>
            </c:strRef>
          </c:cat>
          <c:val>
            <c:numRef>
              <c:f>'3 skaitl'!$O$3:$O$10</c:f>
              <c:numCache>
                <c:formatCode>General</c:formatCode>
                <c:ptCount val="7"/>
                <c:pt idx="0">
                  <c:v>20</c:v>
                </c:pt>
                <c:pt idx="1">
                  <c:v>32</c:v>
                </c:pt>
                <c:pt idx="2">
                  <c:v>33</c:v>
                </c:pt>
                <c:pt idx="3">
                  <c:v>17</c:v>
                </c:pt>
                <c:pt idx="4">
                  <c:v>10</c:v>
                </c:pt>
                <c:pt idx="5">
                  <c:v>28</c:v>
                </c:pt>
                <c:pt idx="6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B7-4657-93AC-4BEFE62CE9BB}"/>
            </c:ext>
          </c:extLst>
        </c:ser>
        <c:ser>
          <c:idx val="2"/>
          <c:order val="2"/>
          <c:tx>
            <c:strRef>
              <c:f>'3 skaitl'!$P$3</c:f>
              <c:strCache>
                <c:ptCount val="1"/>
                <c:pt idx="0">
                  <c:v>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 skaitl'!$M$3:$M$10</c:f>
              <c:strCache>
                <c:ptCount val="7"/>
                <c:pt idx="0">
                  <c:v>3.1. PMLP teritoriālo nodaļu skaits</c:v>
                </c:pt>
                <c:pt idx="1">
                  <c:v>3.2. Telpu iekārtojums</c:v>
                </c:pt>
                <c:pt idx="2">
                  <c:v>3.3. Telpu pieejamība personām ar kustību traucējumiem</c:v>
                </c:pt>
                <c:pt idx="3">
                  <c:v>3.4. Iespēja pierakstīties pakalpojuma saņemšanai</c:v>
                </c:pt>
                <c:pt idx="4">
                  <c:v>3.5. Darba laiks</c:v>
                </c:pt>
                <c:pt idx="5">
                  <c:v>3.6. Pakalpojuma cena</c:v>
                </c:pt>
                <c:pt idx="6">
                  <c:v>3.7. Pakalpojuma saņemšanas termiņi</c:v>
                </c:pt>
              </c:strCache>
            </c:strRef>
          </c:cat>
          <c:val>
            <c:numRef>
              <c:f>'3 skaitl'!$P$3:$P$10</c:f>
              <c:numCache>
                <c:formatCode>General</c:formatCode>
                <c:ptCount val="7"/>
                <c:pt idx="0">
                  <c:v>88</c:v>
                </c:pt>
                <c:pt idx="1">
                  <c:v>101</c:v>
                </c:pt>
                <c:pt idx="2">
                  <c:v>76</c:v>
                </c:pt>
                <c:pt idx="3">
                  <c:v>48</c:v>
                </c:pt>
                <c:pt idx="4">
                  <c:v>47</c:v>
                </c:pt>
                <c:pt idx="5">
                  <c:v>69</c:v>
                </c:pt>
                <c:pt idx="6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B7-4657-93AC-4BEFE62CE9BB}"/>
            </c:ext>
          </c:extLst>
        </c:ser>
        <c:ser>
          <c:idx val="3"/>
          <c:order val="3"/>
          <c:tx>
            <c:strRef>
              <c:f>'3 skaitl'!$Q$3</c:f>
              <c:strCache>
                <c:ptCount val="1"/>
                <c:pt idx="0">
                  <c:v>4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 skaitl'!$M$3:$M$10</c:f>
              <c:strCache>
                <c:ptCount val="7"/>
                <c:pt idx="0">
                  <c:v>3.1. PMLP teritoriālo nodaļu skaits</c:v>
                </c:pt>
                <c:pt idx="1">
                  <c:v>3.2. Telpu iekārtojums</c:v>
                </c:pt>
                <c:pt idx="2">
                  <c:v>3.3. Telpu pieejamība personām ar kustību traucējumiem</c:v>
                </c:pt>
                <c:pt idx="3">
                  <c:v>3.4. Iespēja pierakstīties pakalpojuma saņemšanai</c:v>
                </c:pt>
                <c:pt idx="4">
                  <c:v>3.5. Darba laiks</c:v>
                </c:pt>
                <c:pt idx="5">
                  <c:v>3.6. Pakalpojuma cena</c:v>
                </c:pt>
                <c:pt idx="6">
                  <c:v>3.7. Pakalpojuma saņemšanas termiņi</c:v>
                </c:pt>
              </c:strCache>
            </c:strRef>
          </c:cat>
          <c:val>
            <c:numRef>
              <c:f>'3 skaitl'!$Q$3:$Q$10</c:f>
              <c:numCache>
                <c:formatCode>General</c:formatCode>
                <c:ptCount val="7"/>
                <c:pt idx="0">
                  <c:v>161</c:v>
                </c:pt>
                <c:pt idx="1">
                  <c:v>221</c:v>
                </c:pt>
                <c:pt idx="2">
                  <c:v>138</c:v>
                </c:pt>
                <c:pt idx="3">
                  <c:v>93</c:v>
                </c:pt>
                <c:pt idx="4">
                  <c:v>128</c:v>
                </c:pt>
                <c:pt idx="5">
                  <c:v>178</c:v>
                </c:pt>
                <c:pt idx="6">
                  <c:v>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8B7-4657-93AC-4BEFE62CE9BB}"/>
            </c:ext>
          </c:extLst>
        </c:ser>
        <c:ser>
          <c:idx val="4"/>
          <c:order val="4"/>
          <c:tx>
            <c:strRef>
              <c:f>'3 skaitl'!$R$3</c:f>
              <c:strCache>
                <c:ptCount val="1"/>
                <c:pt idx="0">
                  <c:v>5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 skaitl'!$M$3:$M$10</c:f>
              <c:strCache>
                <c:ptCount val="7"/>
                <c:pt idx="0">
                  <c:v>3.1. PMLP teritoriālo nodaļu skaits</c:v>
                </c:pt>
                <c:pt idx="1">
                  <c:v>3.2. Telpu iekārtojums</c:v>
                </c:pt>
                <c:pt idx="2">
                  <c:v>3.3. Telpu pieejamība personām ar kustību traucējumiem</c:v>
                </c:pt>
                <c:pt idx="3">
                  <c:v>3.4. Iespēja pierakstīties pakalpojuma saņemšanai</c:v>
                </c:pt>
                <c:pt idx="4">
                  <c:v>3.5. Darba laiks</c:v>
                </c:pt>
                <c:pt idx="5">
                  <c:v>3.6. Pakalpojuma cena</c:v>
                </c:pt>
                <c:pt idx="6">
                  <c:v>3.7. Pakalpojuma saņemšanas termiņi</c:v>
                </c:pt>
              </c:strCache>
            </c:strRef>
          </c:cat>
          <c:val>
            <c:numRef>
              <c:f>'3 skaitl'!$R$3:$R$10</c:f>
              <c:numCache>
                <c:formatCode>General</c:formatCode>
                <c:ptCount val="7"/>
                <c:pt idx="0">
                  <c:v>296</c:v>
                </c:pt>
                <c:pt idx="1">
                  <c:v>299</c:v>
                </c:pt>
                <c:pt idx="2">
                  <c:v>252</c:v>
                </c:pt>
                <c:pt idx="3">
                  <c:v>217</c:v>
                </c:pt>
                <c:pt idx="4">
                  <c:v>258</c:v>
                </c:pt>
                <c:pt idx="5">
                  <c:v>278</c:v>
                </c:pt>
                <c:pt idx="6">
                  <c:v>265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8B7-4657-93AC-4BEFE62CE9BB}"/>
            </c:ext>
          </c:extLst>
        </c:ser>
        <c:ser>
          <c:idx val="5"/>
          <c:order val="5"/>
          <c:tx>
            <c:strRef>
              <c:f>'3 skaitl'!$S$3</c:f>
              <c:strCache>
                <c:ptCount val="1"/>
                <c:pt idx="0">
                  <c:v>6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 skaitl'!$M$3:$M$10</c:f>
              <c:strCache>
                <c:ptCount val="7"/>
                <c:pt idx="0">
                  <c:v>3.1. PMLP teritoriālo nodaļu skaits</c:v>
                </c:pt>
                <c:pt idx="1">
                  <c:v>3.2. Telpu iekārtojums</c:v>
                </c:pt>
                <c:pt idx="2">
                  <c:v>3.3. Telpu pieejamība personām ar kustību traucējumiem</c:v>
                </c:pt>
                <c:pt idx="3">
                  <c:v>3.4. Iespēja pierakstīties pakalpojuma saņemšanai</c:v>
                </c:pt>
                <c:pt idx="4">
                  <c:v>3.5. Darba laiks</c:v>
                </c:pt>
                <c:pt idx="5">
                  <c:v>3.6. Pakalpojuma cena</c:v>
                </c:pt>
                <c:pt idx="6">
                  <c:v>3.7. Pakalpojuma saņemšanas termiņi</c:v>
                </c:pt>
              </c:strCache>
            </c:strRef>
          </c:cat>
          <c:val>
            <c:numRef>
              <c:f>'3 skaitl'!$S$3:$S$10</c:f>
              <c:numCache>
                <c:formatCode>General</c:formatCode>
                <c:ptCount val="7"/>
                <c:pt idx="0">
                  <c:v>385</c:v>
                </c:pt>
                <c:pt idx="1">
                  <c:v>312</c:v>
                </c:pt>
                <c:pt idx="2">
                  <c:v>413</c:v>
                </c:pt>
                <c:pt idx="3">
                  <c:v>610</c:v>
                </c:pt>
                <c:pt idx="4">
                  <c:v>541</c:v>
                </c:pt>
                <c:pt idx="5">
                  <c:v>428</c:v>
                </c:pt>
                <c:pt idx="6">
                  <c:v>532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8B7-4657-93AC-4BEFE62CE9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overlap val="100"/>
        <c:axId val="-661850528"/>
        <c:axId val="-661849984"/>
      </c:barChart>
      <c:catAx>
        <c:axId val="-66185052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61849984"/>
        <c:crosses val="autoZero"/>
        <c:auto val="1"/>
        <c:lblAlgn val="ctr"/>
        <c:lblOffset val="100"/>
        <c:noMultiLvlLbl val="0"/>
      </c:catAx>
      <c:valAx>
        <c:axId val="-661849984"/>
        <c:scaling>
          <c:orientation val="minMax"/>
        </c:scaling>
        <c:delete val="1"/>
        <c:axPos val="t"/>
        <c:numFmt formatCode="General" sourceLinked="1"/>
        <c:majorTickMark val="out"/>
        <c:minorTickMark val="none"/>
        <c:tickLblPos val="nextTo"/>
        <c:crossAx val="-661850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1449647400733353"/>
          <c:y val="0.90498393308313096"/>
          <c:w val="0.5310563738102404"/>
          <c:h val="7.009394853680672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'4'!$K$2</c:f>
              <c:strCache>
                <c:ptCount val="1"/>
                <c:pt idx="0">
                  <c:v>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'4'!$J$3:$J$9</c:f>
              <c:strCache>
                <c:ptCount val="7"/>
                <c:pt idx="0">
                  <c:v>4.1. PMLP teritoriālo nodaļu skaits</c:v>
                </c:pt>
                <c:pt idx="1">
                  <c:v>4.2. Telpu iekārtojums</c:v>
                </c:pt>
                <c:pt idx="2">
                  <c:v>4.3. Telpu pieejamība personām ar kustību traucējumiem</c:v>
                </c:pt>
                <c:pt idx="3">
                  <c:v>4.4. Iespēja pierakstīties pakalpojuma saņemšanai</c:v>
                </c:pt>
                <c:pt idx="4">
                  <c:v>4.5. Darba laiks</c:v>
                </c:pt>
                <c:pt idx="5">
                  <c:v>4.6. Pakalpojuma cena</c:v>
                </c:pt>
                <c:pt idx="6">
                  <c:v>4.7. Pakalpojuma saņemšanas termiņi</c:v>
                </c:pt>
              </c:strCache>
            </c:strRef>
          </c:cat>
          <c:val>
            <c:numRef>
              <c:f>'4'!$K$3:$K$9</c:f>
              <c:numCache>
                <c:formatCode>General</c:formatCode>
                <c:ptCount val="7"/>
                <c:pt idx="0">
                  <c:v>15</c:v>
                </c:pt>
                <c:pt idx="1">
                  <c:v>13</c:v>
                </c:pt>
                <c:pt idx="2">
                  <c:v>31</c:v>
                </c:pt>
                <c:pt idx="3">
                  <c:v>34</c:v>
                </c:pt>
                <c:pt idx="4">
                  <c:v>23</c:v>
                </c:pt>
                <c:pt idx="5">
                  <c:v>17</c:v>
                </c:pt>
                <c:pt idx="6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7E-4D5B-9B20-8FA7E0931F35}"/>
            </c:ext>
          </c:extLst>
        </c:ser>
        <c:ser>
          <c:idx val="1"/>
          <c:order val="1"/>
          <c:tx>
            <c:strRef>
              <c:f>'4'!$L$2</c:f>
              <c:strCache>
                <c:ptCount val="1"/>
                <c:pt idx="0">
                  <c:v>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'4'!$J$3:$J$9</c:f>
              <c:strCache>
                <c:ptCount val="7"/>
                <c:pt idx="0">
                  <c:v>4.1. PMLP teritoriālo nodaļu skaits</c:v>
                </c:pt>
                <c:pt idx="1">
                  <c:v>4.2. Telpu iekārtojums</c:v>
                </c:pt>
                <c:pt idx="2">
                  <c:v>4.3. Telpu pieejamība personām ar kustību traucējumiem</c:v>
                </c:pt>
                <c:pt idx="3">
                  <c:v>4.4. Iespēja pierakstīties pakalpojuma saņemšanai</c:v>
                </c:pt>
                <c:pt idx="4">
                  <c:v>4.5. Darba laiks</c:v>
                </c:pt>
                <c:pt idx="5">
                  <c:v>4.6. Pakalpojuma cena</c:v>
                </c:pt>
                <c:pt idx="6">
                  <c:v>4.7. Pakalpojuma saņemšanas termiņi</c:v>
                </c:pt>
              </c:strCache>
            </c:strRef>
          </c:cat>
          <c:val>
            <c:numRef>
              <c:f>'4'!$L$3:$L$9</c:f>
              <c:numCache>
                <c:formatCode>General</c:formatCode>
                <c:ptCount val="7"/>
                <c:pt idx="0">
                  <c:v>32</c:v>
                </c:pt>
                <c:pt idx="1">
                  <c:v>19</c:v>
                </c:pt>
                <c:pt idx="2">
                  <c:v>38</c:v>
                </c:pt>
                <c:pt idx="3">
                  <c:v>35</c:v>
                </c:pt>
                <c:pt idx="4">
                  <c:v>34</c:v>
                </c:pt>
                <c:pt idx="5">
                  <c:v>26</c:v>
                </c:pt>
                <c:pt idx="6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7E-4D5B-9B20-8FA7E0931F35}"/>
            </c:ext>
          </c:extLst>
        </c:ser>
        <c:ser>
          <c:idx val="2"/>
          <c:order val="2"/>
          <c:tx>
            <c:strRef>
              <c:f>'4'!$M$2</c:f>
              <c:strCache>
                <c:ptCount val="1"/>
                <c:pt idx="0">
                  <c:v>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'4'!$J$3:$J$9</c:f>
              <c:strCache>
                <c:ptCount val="7"/>
                <c:pt idx="0">
                  <c:v>4.1. PMLP teritoriālo nodaļu skaits</c:v>
                </c:pt>
                <c:pt idx="1">
                  <c:v>4.2. Telpu iekārtojums</c:v>
                </c:pt>
                <c:pt idx="2">
                  <c:v>4.3. Telpu pieejamība personām ar kustību traucējumiem</c:v>
                </c:pt>
                <c:pt idx="3">
                  <c:v>4.4. Iespēja pierakstīties pakalpojuma saņemšanai</c:v>
                </c:pt>
                <c:pt idx="4">
                  <c:v>4.5. Darba laiks</c:v>
                </c:pt>
                <c:pt idx="5">
                  <c:v>4.6. Pakalpojuma cena</c:v>
                </c:pt>
                <c:pt idx="6">
                  <c:v>4.7. Pakalpojuma saņemšanas termiņi</c:v>
                </c:pt>
              </c:strCache>
            </c:strRef>
          </c:cat>
          <c:val>
            <c:numRef>
              <c:f>'4'!$M$3:$M$9</c:f>
              <c:numCache>
                <c:formatCode>General</c:formatCode>
                <c:ptCount val="7"/>
                <c:pt idx="0">
                  <c:v>94</c:v>
                </c:pt>
                <c:pt idx="1">
                  <c:v>56</c:v>
                </c:pt>
                <c:pt idx="2">
                  <c:v>71</c:v>
                </c:pt>
                <c:pt idx="3">
                  <c:v>98</c:v>
                </c:pt>
                <c:pt idx="4">
                  <c:v>84</c:v>
                </c:pt>
                <c:pt idx="5">
                  <c:v>92</c:v>
                </c:pt>
                <c:pt idx="6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7E-4D5B-9B20-8FA7E0931F35}"/>
            </c:ext>
          </c:extLst>
        </c:ser>
        <c:ser>
          <c:idx val="3"/>
          <c:order val="3"/>
          <c:tx>
            <c:strRef>
              <c:f>'4'!$N$2</c:f>
              <c:strCache>
                <c:ptCount val="1"/>
                <c:pt idx="0">
                  <c:v>4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'4'!$J$3:$J$9</c:f>
              <c:strCache>
                <c:ptCount val="7"/>
                <c:pt idx="0">
                  <c:v>4.1. PMLP teritoriālo nodaļu skaits</c:v>
                </c:pt>
                <c:pt idx="1">
                  <c:v>4.2. Telpu iekārtojums</c:v>
                </c:pt>
                <c:pt idx="2">
                  <c:v>4.3. Telpu pieejamība personām ar kustību traucējumiem</c:v>
                </c:pt>
                <c:pt idx="3">
                  <c:v>4.4. Iespēja pierakstīties pakalpojuma saņemšanai</c:v>
                </c:pt>
                <c:pt idx="4">
                  <c:v>4.5. Darba laiks</c:v>
                </c:pt>
                <c:pt idx="5">
                  <c:v>4.6. Pakalpojuma cena</c:v>
                </c:pt>
                <c:pt idx="6">
                  <c:v>4.7. Pakalpojuma saņemšanas termiņi</c:v>
                </c:pt>
              </c:strCache>
            </c:strRef>
          </c:cat>
          <c:val>
            <c:numRef>
              <c:f>'4'!$N$3:$N$9</c:f>
              <c:numCache>
                <c:formatCode>General</c:formatCode>
                <c:ptCount val="7"/>
                <c:pt idx="0">
                  <c:v>188</c:v>
                </c:pt>
                <c:pt idx="1">
                  <c:v>167</c:v>
                </c:pt>
                <c:pt idx="2">
                  <c:v>167</c:v>
                </c:pt>
                <c:pt idx="3">
                  <c:v>140</c:v>
                </c:pt>
                <c:pt idx="4">
                  <c:v>179</c:v>
                </c:pt>
                <c:pt idx="5">
                  <c:v>235</c:v>
                </c:pt>
                <c:pt idx="6">
                  <c:v>170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27E-4D5B-9B20-8FA7E0931F35}"/>
            </c:ext>
          </c:extLst>
        </c:ser>
        <c:ser>
          <c:idx val="4"/>
          <c:order val="4"/>
          <c:tx>
            <c:strRef>
              <c:f>'4'!$O$2</c:f>
              <c:strCache>
                <c:ptCount val="1"/>
                <c:pt idx="0">
                  <c:v>5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'4'!$J$3:$J$9</c:f>
              <c:strCache>
                <c:ptCount val="7"/>
                <c:pt idx="0">
                  <c:v>4.1. PMLP teritoriālo nodaļu skaits</c:v>
                </c:pt>
                <c:pt idx="1">
                  <c:v>4.2. Telpu iekārtojums</c:v>
                </c:pt>
                <c:pt idx="2">
                  <c:v>4.3. Telpu pieejamība personām ar kustību traucējumiem</c:v>
                </c:pt>
                <c:pt idx="3">
                  <c:v>4.4. Iespēja pierakstīties pakalpojuma saņemšanai</c:v>
                </c:pt>
                <c:pt idx="4">
                  <c:v>4.5. Darba laiks</c:v>
                </c:pt>
                <c:pt idx="5">
                  <c:v>4.6. Pakalpojuma cena</c:v>
                </c:pt>
                <c:pt idx="6">
                  <c:v>4.7. Pakalpojuma saņemšanas termiņi</c:v>
                </c:pt>
              </c:strCache>
            </c:strRef>
          </c:cat>
          <c:val>
            <c:numRef>
              <c:f>'4'!$O$3:$O$9</c:f>
              <c:numCache>
                <c:formatCode>General</c:formatCode>
                <c:ptCount val="7"/>
                <c:pt idx="0">
                  <c:v>284</c:v>
                </c:pt>
                <c:pt idx="1">
                  <c:v>316</c:v>
                </c:pt>
                <c:pt idx="2">
                  <c:v>301</c:v>
                </c:pt>
                <c:pt idx="3">
                  <c:v>221</c:v>
                </c:pt>
                <c:pt idx="4">
                  <c:v>281</c:v>
                </c:pt>
                <c:pt idx="5">
                  <c:v>294</c:v>
                </c:pt>
                <c:pt idx="6">
                  <c:v>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7E-4D5B-9B20-8FA7E0931F35}"/>
            </c:ext>
          </c:extLst>
        </c:ser>
        <c:ser>
          <c:idx val="5"/>
          <c:order val="5"/>
          <c:tx>
            <c:strRef>
              <c:f>'4'!$P$2</c:f>
              <c:strCache>
                <c:ptCount val="1"/>
                <c:pt idx="0">
                  <c:v>6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'4'!$J$3:$J$9</c:f>
              <c:strCache>
                <c:ptCount val="7"/>
                <c:pt idx="0">
                  <c:v>4.1. PMLP teritoriālo nodaļu skaits</c:v>
                </c:pt>
                <c:pt idx="1">
                  <c:v>4.2. Telpu iekārtojums</c:v>
                </c:pt>
                <c:pt idx="2">
                  <c:v>4.3. Telpu pieejamība personām ar kustību traucējumiem</c:v>
                </c:pt>
                <c:pt idx="3">
                  <c:v>4.4. Iespēja pierakstīties pakalpojuma saņemšanai</c:v>
                </c:pt>
                <c:pt idx="4">
                  <c:v>4.5. Darba laiks</c:v>
                </c:pt>
                <c:pt idx="5">
                  <c:v>4.6. Pakalpojuma cena</c:v>
                </c:pt>
                <c:pt idx="6">
                  <c:v>4.7. Pakalpojuma saņemšanas termiņi</c:v>
                </c:pt>
              </c:strCache>
            </c:strRef>
          </c:cat>
          <c:val>
            <c:numRef>
              <c:f>'4'!$P$3:$P$9</c:f>
              <c:numCache>
                <c:formatCode>General</c:formatCode>
                <c:ptCount val="7"/>
                <c:pt idx="0">
                  <c:v>377</c:v>
                </c:pt>
                <c:pt idx="1">
                  <c:v>420</c:v>
                </c:pt>
                <c:pt idx="2">
                  <c:v>354</c:v>
                </c:pt>
                <c:pt idx="3">
                  <c:v>465</c:v>
                </c:pt>
                <c:pt idx="4">
                  <c:v>392</c:v>
                </c:pt>
                <c:pt idx="5">
                  <c:v>328</c:v>
                </c:pt>
                <c:pt idx="6">
                  <c:v>406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27E-4D5B-9B20-8FA7E0931F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100"/>
        <c:axId val="-661870112"/>
        <c:axId val="-661869568"/>
      </c:barChart>
      <c:catAx>
        <c:axId val="-6618701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61869568"/>
        <c:crosses val="autoZero"/>
        <c:auto val="1"/>
        <c:lblAlgn val="ctr"/>
        <c:lblOffset val="100"/>
        <c:noMultiLvlLbl val="0"/>
      </c:catAx>
      <c:valAx>
        <c:axId val="-661869568"/>
        <c:scaling>
          <c:orientation val="minMax"/>
        </c:scaling>
        <c:delete val="1"/>
        <c:axPos val="t"/>
        <c:numFmt formatCode="General" sourceLinked="1"/>
        <c:majorTickMark val="none"/>
        <c:minorTickMark val="none"/>
        <c:tickLblPos val="nextTo"/>
        <c:crossAx val="-661870112"/>
        <c:crossesAt val="3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134369152761014"/>
          <c:y val="0.90820114500311622"/>
          <c:w val="0.60617723879405583"/>
          <c:h val="5.804257250334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1.2119650687835834E-3"/>
          <c:y val="0.10339042793574559"/>
          <c:w val="0.967714495810723"/>
          <c:h val="0.577118786532051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'4 un 5 dem'!$A$16</c:f>
              <c:strCache>
                <c:ptCount val="1"/>
                <c:pt idx="0">
                  <c:v>1.1. Noformēju LR pilsoņa / nepilsoņa pasi / eID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2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1E79-44D8-9BA0-6EF74BADD88A}"/>
              </c:ext>
            </c:extLst>
          </c:dPt>
          <c:dPt>
            <c:idx val="2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1E79-44D8-9BA0-6EF74BADD88A}"/>
              </c:ext>
            </c:extLst>
          </c:dPt>
          <c:dPt>
            <c:idx val="28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1E79-44D8-9BA0-6EF74BADD88A}"/>
              </c:ext>
            </c:extLst>
          </c:dPt>
          <c:dPt>
            <c:idx val="3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1E79-44D8-9BA0-6EF74BADD88A}"/>
              </c:ext>
            </c:extLst>
          </c:dPt>
          <c:dPt>
            <c:idx val="42"/>
            <c:invertIfNegative val="0"/>
            <c:bubble3D val="0"/>
            <c:spPr>
              <a:solidFill>
                <a:schemeClr val="accent6">
                  <a:lumMod val="5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1E79-44D8-9BA0-6EF74BADD88A}"/>
              </c:ext>
            </c:extLst>
          </c:dPt>
          <c:dPt>
            <c:idx val="43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1E79-44D8-9BA0-6EF74BADD88A}"/>
              </c:ext>
            </c:extLst>
          </c:dPt>
          <c:dPt>
            <c:idx val="44"/>
            <c:invertIfNegative val="0"/>
            <c:bubble3D val="0"/>
            <c:spPr>
              <a:solidFill>
                <a:schemeClr val="accent6">
                  <a:lumMod val="5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1E79-44D8-9BA0-6EF74BADD88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 un 5 dem'!$B$10:$J$10</c:f>
              <c:strCache>
                <c:ptCount val="8"/>
                <c:pt idx="0">
                  <c:v>4.1. PMLP teritoriālo nodaļu skaits</c:v>
                </c:pt>
                <c:pt idx="1">
                  <c:v>4.2. Telpu iekārtojums</c:v>
                </c:pt>
                <c:pt idx="2">
                  <c:v>4.3. Telpu pieejamība personām ar kustību traucējumiem</c:v>
                </c:pt>
                <c:pt idx="3">
                  <c:v>4.4. Iespēja pierakstīties pakalpojuma saņemšanai</c:v>
                </c:pt>
                <c:pt idx="4">
                  <c:v>4.5. Darba laiks</c:v>
                </c:pt>
                <c:pt idx="5">
                  <c:v>4.6. Pakalpojuma cena</c:v>
                </c:pt>
                <c:pt idx="6">
                  <c:v>4.7. Pakalpojuma saņemšanas termiņi</c:v>
                </c:pt>
                <c:pt idx="7">
                  <c:v>10. Vidēji par 1 aspektu</c:v>
                </c:pt>
              </c:strCache>
            </c:strRef>
          </c:cat>
          <c:val>
            <c:numRef>
              <c:f>'4 un 5 dem'!$B$16:$J$16</c:f>
              <c:numCache>
                <c:formatCode>0.00</c:formatCode>
                <c:ptCount val="8"/>
                <c:pt idx="0">
                  <c:v>4.817223198594025</c:v>
                </c:pt>
                <c:pt idx="1">
                  <c:v>5</c:v>
                </c:pt>
                <c:pt idx="2">
                  <c:v>4.7937956204379564</c:v>
                </c:pt>
                <c:pt idx="3">
                  <c:v>4.9244288224956065</c:v>
                </c:pt>
                <c:pt idx="4">
                  <c:v>4.862676056338028</c:v>
                </c:pt>
                <c:pt idx="5">
                  <c:v>4.788732394366197</c:v>
                </c:pt>
                <c:pt idx="6">
                  <c:v>4.9613356766256587</c:v>
                </c:pt>
                <c:pt idx="7">
                  <c:v>4.880043365857726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1E79-44D8-9BA0-6EF74BADD8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-655992672"/>
        <c:axId val="-655967648"/>
      </c:barChart>
      <c:catAx>
        <c:axId val="-655992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55967648"/>
        <c:crosses val="autoZero"/>
        <c:auto val="1"/>
        <c:lblAlgn val="ctr"/>
        <c:lblOffset val="100"/>
        <c:noMultiLvlLbl val="0"/>
      </c:catAx>
      <c:valAx>
        <c:axId val="-655967648"/>
        <c:scaling>
          <c:orientation val="minMax"/>
        </c:scaling>
        <c:delete val="1"/>
        <c:axPos val="l"/>
        <c:numFmt formatCode="0.00" sourceLinked="1"/>
        <c:majorTickMark val="none"/>
        <c:minorTickMark val="none"/>
        <c:tickLblPos val="nextTo"/>
        <c:crossAx val="-655992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>
          <a:lumMod val="85000"/>
        </a:sys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strRef>
          <c:f>'4 un 5 dem'!$C$193</c:f>
          <c:strCache>
            <c:ptCount val="1"/>
            <c:pt idx="0">
              <c:v>5. Vidējais gaidīšanas laiks (dienas)</c:v>
            </c:pt>
          </c:strCache>
        </c:strRef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>
                <a:lumMod val="75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4"/>
            <c:invertIfNegative val="0"/>
            <c:bubble3D val="0"/>
            <c:spPr>
              <a:solidFill>
                <a:schemeClr val="accent6">
                  <a:lumMod val="5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B89B-42DB-945A-2DD4F7C05234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>
                  <a:lumMod val="50000"/>
                </a:schemeClr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B89B-42DB-945A-2DD4F7C0523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 un 5 dem'!$E$206:$E$210</c:f>
              <c:strCache>
                <c:ptCount val="5"/>
                <c:pt idx="0">
                  <c:v>1.1. Noformēju LR pilsoņa / nepilsoņa pasi / eID</c:v>
                </c:pt>
                <c:pt idx="1">
                  <c:v>1.2. Saņēmu sagatavoto pasi/ personas apliecību</c:v>
                </c:pt>
                <c:pt idx="2">
                  <c:v>1.3. Noformēju ārzemnieka uzturēšanās atļaujas karti</c:v>
                </c:pt>
                <c:pt idx="3">
                  <c:v>1.4. Saņēmu ārzemnieka uzturēšanās atļaujas karti</c:v>
                </c:pt>
                <c:pt idx="4">
                  <c:v>Vidēji</c:v>
                </c:pt>
              </c:strCache>
            </c:strRef>
          </c:cat>
          <c:val>
            <c:numRef>
              <c:f>'4 un 5 dem'!$F$206:$F$210</c:f>
              <c:numCache>
                <c:formatCode>0.00</c:formatCode>
                <c:ptCount val="5"/>
                <c:pt idx="0">
                  <c:v>15.783001808318264</c:v>
                </c:pt>
                <c:pt idx="1">
                  <c:v>11.879227053140097</c:v>
                </c:pt>
                <c:pt idx="2">
                  <c:v>11.177570093457945</c:v>
                </c:pt>
                <c:pt idx="3">
                  <c:v>8.862068965517242</c:v>
                </c:pt>
                <c:pt idx="4">
                  <c:v>13.788259958071279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89B-42DB-945A-2DD4F7C052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0"/>
        <c:axId val="-655987232"/>
        <c:axId val="-655983968"/>
      </c:barChart>
      <c:catAx>
        <c:axId val="-65598723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55983968"/>
        <c:crosses val="autoZero"/>
        <c:auto val="1"/>
        <c:lblAlgn val="ctr"/>
        <c:lblOffset val="100"/>
        <c:noMultiLvlLbl val="0"/>
      </c:catAx>
      <c:valAx>
        <c:axId val="-655983968"/>
        <c:scaling>
          <c:orientation val="minMax"/>
        </c:scaling>
        <c:delete val="1"/>
        <c:axPos val="t"/>
        <c:numFmt formatCode="0.00" sourceLinked="1"/>
        <c:majorTickMark val="none"/>
        <c:minorTickMark val="none"/>
        <c:tickLblPos val="nextTo"/>
        <c:crossAx val="-655987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strRef>
          <c:f>'4 un 5 dem'!$D$122</c:f>
          <c:strCache>
            <c:ptCount val="1"/>
            <c:pt idx="0">
              <c:v>5. Maksimālais gaidīšanas laiks (dienas)</c:v>
            </c:pt>
          </c:strCache>
        </c:strRef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4"/>
            <c:invertIfNegative val="0"/>
            <c:bubble3D val="0"/>
            <c:spPr>
              <a:solidFill>
                <a:srgbClr val="AC00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97AA-4919-848F-2D54955FEA0A}"/>
              </c:ext>
            </c:extLst>
          </c:dPt>
          <c:dPt>
            <c:idx val="5"/>
            <c:invertIfNegative val="0"/>
            <c:bubble3D val="0"/>
            <c:spPr>
              <a:solidFill>
                <a:srgbClr val="4200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97AA-4919-848F-2D54955FEA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 un 5 dem'!$E$206:$E$210</c:f>
              <c:strCache>
                <c:ptCount val="5"/>
                <c:pt idx="0">
                  <c:v>1.1. Noformēju LR pilsoņa / nepilsoņa pasi / eID</c:v>
                </c:pt>
                <c:pt idx="1">
                  <c:v>1.2. Saņēmu sagatavoto pasi/ personas apliecību</c:v>
                </c:pt>
                <c:pt idx="2">
                  <c:v>1.3. Noformēju ārzemnieka uzturēšanās atļaujas karti</c:v>
                </c:pt>
                <c:pt idx="3">
                  <c:v>1.4. Saņēmu ārzemnieka uzturēšanās atļaujas karti</c:v>
                </c:pt>
                <c:pt idx="4">
                  <c:v>Vidēji</c:v>
                </c:pt>
              </c:strCache>
            </c:strRef>
          </c:cat>
          <c:val>
            <c:numRef>
              <c:f>'4 un 5 dem'!$G$206:$G$210</c:f>
              <c:numCache>
                <c:formatCode>General</c:formatCode>
                <c:ptCount val="5"/>
                <c:pt idx="0">
                  <c:v>90</c:v>
                </c:pt>
                <c:pt idx="1">
                  <c:v>60</c:v>
                </c:pt>
                <c:pt idx="2">
                  <c:v>47</c:v>
                </c:pt>
                <c:pt idx="3">
                  <c:v>60</c:v>
                </c:pt>
                <c:pt idx="4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AA-4919-848F-2D54955FEA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0"/>
        <c:axId val="-655977984"/>
        <c:axId val="-655975808"/>
      </c:barChart>
      <c:catAx>
        <c:axId val="-65597798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55975808"/>
        <c:crosses val="autoZero"/>
        <c:auto val="1"/>
        <c:lblAlgn val="ctr"/>
        <c:lblOffset val="100"/>
        <c:noMultiLvlLbl val="0"/>
      </c:catAx>
      <c:valAx>
        <c:axId val="-655975808"/>
        <c:scaling>
          <c:orientation val="minMax"/>
        </c:scaling>
        <c:delete val="1"/>
        <c:axPos val="t"/>
        <c:numFmt formatCode="General" sourceLinked="1"/>
        <c:majorTickMark val="none"/>
        <c:minorTickMark val="none"/>
        <c:tickLblPos val="nextTo"/>
        <c:crossAx val="-655977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8165523382755262"/>
          <c:y val="0.20155355682747342"/>
          <c:w val="0.60624921128886722"/>
          <c:h val="0.6525276685058685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'6'!$K$3</c:f>
              <c:strCache>
                <c:ptCount val="1"/>
                <c:pt idx="0">
                  <c:v>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'6'!$J$4:$J$9</c:f>
              <c:strCache>
                <c:ptCount val="6"/>
                <c:pt idx="0">
                  <c:v>6.1. Darba kvalitāte kopumā</c:v>
                </c:pt>
                <c:pt idx="1">
                  <c:v>6.2. Kompetence un profesionalitāte</c:v>
                </c:pt>
                <c:pt idx="2">
                  <c:v>6.3. Pieklājība</c:v>
                </c:pt>
                <c:pt idx="3">
                  <c:v>6.4. Attieksme (pozitīva, labvēlīga, ieinteresēta)</c:v>
                </c:pt>
                <c:pt idx="4">
                  <c:v>6.5. Apkalpošanas kultūra</c:v>
                </c:pt>
                <c:pt idx="5">
                  <c:v>6.6. Informācijas sniegšana un izskaidrošana</c:v>
                </c:pt>
              </c:strCache>
            </c:strRef>
          </c:cat>
          <c:val>
            <c:numRef>
              <c:f>'6'!$K$4:$K$9</c:f>
              <c:numCache>
                <c:formatCode>General</c:formatCode>
                <c:ptCount val="6"/>
                <c:pt idx="0">
                  <c:v>9</c:v>
                </c:pt>
                <c:pt idx="1">
                  <c:v>5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4A-4C31-AEB7-7083B44EA860}"/>
            </c:ext>
          </c:extLst>
        </c:ser>
        <c:ser>
          <c:idx val="1"/>
          <c:order val="1"/>
          <c:tx>
            <c:strRef>
              <c:f>'6'!$L$3</c:f>
              <c:strCache>
                <c:ptCount val="1"/>
                <c:pt idx="0">
                  <c:v>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'6'!$J$4:$J$9</c:f>
              <c:strCache>
                <c:ptCount val="6"/>
                <c:pt idx="0">
                  <c:v>6.1. Darba kvalitāte kopumā</c:v>
                </c:pt>
                <c:pt idx="1">
                  <c:v>6.2. Kompetence un profesionalitāte</c:v>
                </c:pt>
                <c:pt idx="2">
                  <c:v>6.3. Pieklājība</c:v>
                </c:pt>
                <c:pt idx="3">
                  <c:v>6.4. Attieksme (pozitīva, labvēlīga, ieinteresēta)</c:v>
                </c:pt>
                <c:pt idx="4">
                  <c:v>6.5. Apkalpošanas kultūra</c:v>
                </c:pt>
                <c:pt idx="5">
                  <c:v>6.6. Informācijas sniegšana un izskaidrošana</c:v>
                </c:pt>
              </c:strCache>
            </c:strRef>
          </c:cat>
          <c:val>
            <c:numRef>
              <c:f>'6'!$L$4:$L$9</c:f>
              <c:numCache>
                <c:formatCode>General</c:formatCode>
                <c:ptCount val="6"/>
                <c:pt idx="0">
                  <c:v>3</c:v>
                </c:pt>
                <c:pt idx="1">
                  <c:v>3</c:v>
                </c:pt>
                <c:pt idx="2">
                  <c:v>4</c:v>
                </c:pt>
                <c:pt idx="3">
                  <c:v>9</c:v>
                </c:pt>
                <c:pt idx="4">
                  <c:v>5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4A-4C31-AEB7-7083B44EA860}"/>
            </c:ext>
          </c:extLst>
        </c:ser>
        <c:ser>
          <c:idx val="2"/>
          <c:order val="2"/>
          <c:tx>
            <c:strRef>
              <c:f>'6'!$M$3</c:f>
              <c:strCache>
                <c:ptCount val="1"/>
                <c:pt idx="0">
                  <c:v>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'6'!$J$4:$J$9</c:f>
              <c:strCache>
                <c:ptCount val="6"/>
                <c:pt idx="0">
                  <c:v>6.1. Darba kvalitāte kopumā</c:v>
                </c:pt>
                <c:pt idx="1">
                  <c:v>6.2. Kompetence un profesionalitāte</c:v>
                </c:pt>
                <c:pt idx="2">
                  <c:v>6.3. Pieklājība</c:v>
                </c:pt>
                <c:pt idx="3">
                  <c:v>6.4. Attieksme (pozitīva, labvēlīga, ieinteresēta)</c:v>
                </c:pt>
                <c:pt idx="4">
                  <c:v>6.5. Apkalpošanas kultūra</c:v>
                </c:pt>
                <c:pt idx="5">
                  <c:v>6.6. Informācijas sniegšana un izskaidrošana</c:v>
                </c:pt>
              </c:strCache>
            </c:strRef>
          </c:cat>
          <c:val>
            <c:numRef>
              <c:f>'6'!$M$4:$M$9</c:f>
              <c:numCache>
                <c:formatCode>General</c:formatCode>
                <c:ptCount val="6"/>
                <c:pt idx="0">
                  <c:v>12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9</c:v>
                </c:pt>
                <c:pt idx="5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4A-4C31-AEB7-7083B44EA860}"/>
            </c:ext>
          </c:extLst>
        </c:ser>
        <c:ser>
          <c:idx val="3"/>
          <c:order val="3"/>
          <c:tx>
            <c:strRef>
              <c:f>'6'!$N$3</c:f>
              <c:strCache>
                <c:ptCount val="1"/>
                <c:pt idx="0">
                  <c:v>4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'6'!$J$4:$J$9</c:f>
              <c:strCache>
                <c:ptCount val="6"/>
                <c:pt idx="0">
                  <c:v>6.1. Darba kvalitāte kopumā</c:v>
                </c:pt>
                <c:pt idx="1">
                  <c:v>6.2. Kompetence un profesionalitāte</c:v>
                </c:pt>
                <c:pt idx="2">
                  <c:v>6.3. Pieklājība</c:v>
                </c:pt>
                <c:pt idx="3">
                  <c:v>6.4. Attieksme (pozitīva, labvēlīga, ieinteresēta)</c:v>
                </c:pt>
                <c:pt idx="4">
                  <c:v>6.5. Apkalpošanas kultūra</c:v>
                </c:pt>
                <c:pt idx="5">
                  <c:v>6.6. Informācijas sniegšana un izskaidrošana</c:v>
                </c:pt>
              </c:strCache>
            </c:strRef>
          </c:cat>
          <c:val>
            <c:numRef>
              <c:f>'6'!$N$4:$N$9</c:f>
              <c:numCache>
                <c:formatCode>General</c:formatCode>
                <c:ptCount val="6"/>
                <c:pt idx="0">
                  <c:v>50</c:v>
                </c:pt>
                <c:pt idx="1">
                  <c:v>56</c:v>
                </c:pt>
                <c:pt idx="2">
                  <c:v>47</c:v>
                </c:pt>
                <c:pt idx="3">
                  <c:v>48</c:v>
                </c:pt>
                <c:pt idx="4">
                  <c:v>46</c:v>
                </c:pt>
                <c:pt idx="5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A4A-4C31-AEB7-7083B44EA860}"/>
            </c:ext>
          </c:extLst>
        </c:ser>
        <c:ser>
          <c:idx val="4"/>
          <c:order val="4"/>
          <c:tx>
            <c:strRef>
              <c:f>'6'!$O$3</c:f>
              <c:strCache>
                <c:ptCount val="1"/>
                <c:pt idx="0">
                  <c:v>5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'6'!$J$4:$J$9</c:f>
              <c:strCache>
                <c:ptCount val="6"/>
                <c:pt idx="0">
                  <c:v>6.1. Darba kvalitāte kopumā</c:v>
                </c:pt>
                <c:pt idx="1">
                  <c:v>6.2. Kompetence un profesionalitāte</c:v>
                </c:pt>
                <c:pt idx="2">
                  <c:v>6.3. Pieklājība</c:v>
                </c:pt>
                <c:pt idx="3">
                  <c:v>6.4. Attieksme (pozitīva, labvēlīga, ieinteresēta)</c:v>
                </c:pt>
                <c:pt idx="4">
                  <c:v>6.5. Apkalpošanas kultūra</c:v>
                </c:pt>
                <c:pt idx="5">
                  <c:v>6.6. Informācijas sniegšana un izskaidrošana</c:v>
                </c:pt>
              </c:strCache>
            </c:strRef>
          </c:cat>
          <c:val>
            <c:numRef>
              <c:f>'6'!$O$4:$O$9</c:f>
              <c:numCache>
                <c:formatCode>General</c:formatCode>
                <c:ptCount val="6"/>
                <c:pt idx="0">
                  <c:v>244</c:v>
                </c:pt>
                <c:pt idx="1">
                  <c:v>210</c:v>
                </c:pt>
                <c:pt idx="2">
                  <c:v>174</c:v>
                </c:pt>
                <c:pt idx="3">
                  <c:v>183</c:v>
                </c:pt>
                <c:pt idx="4">
                  <c:v>185</c:v>
                </c:pt>
                <c:pt idx="5">
                  <c:v>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4A-4C31-AEB7-7083B44EA860}"/>
            </c:ext>
          </c:extLst>
        </c:ser>
        <c:ser>
          <c:idx val="5"/>
          <c:order val="5"/>
          <c:tx>
            <c:strRef>
              <c:f>'6'!$P$3</c:f>
              <c:strCache>
                <c:ptCount val="1"/>
                <c:pt idx="0">
                  <c:v>6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'6'!$J$4:$J$9</c:f>
              <c:strCache>
                <c:ptCount val="6"/>
                <c:pt idx="0">
                  <c:v>6.1. Darba kvalitāte kopumā</c:v>
                </c:pt>
                <c:pt idx="1">
                  <c:v>6.2. Kompetence un profesionalitāte</c:v>
                </c:pt>
                <c:pt idx="2">
                  <c:v>6.3. Pieklājība</c:v>
                </c:pt>
                <c:pt idx="3">
                  <c:v>6.4. Attieksme (pozitīva, labvēlīga, ieinteresēta)</c:v>
                </c:pt>
                <c:pt idx="4">
                  <c:v>6.5. Apkalpošanas kultūra</c:v>
                </c:pt>
                <c:pt idx="5">
                  <c:v>6.6. Informācijas sniegšana un izskaidrošana</c:v>
                </c:pt>
              </c:strCache>
            </c:strRef>
          </c:cat>
          <c:val>
            <c:numRef>
              <c:f>'6'!$P$4:$P$9</c:f>
              <c:numCache>
                <c:formatCode>General</c:formatCode>
                <c:ptCount val="6"/>
                <c:pt idx="0">
                  <c:v>682</c:v>
                </c:pt>
                <c:pt idx="1">
                  <c:v>714</c:v>
                </c:pt>
                <c:pt idx="2">
                  <c:v>758</c:v>
                </c:pt>
                <c:pt idx="3">
                  <c:v>739</c:v>
                </c:pt>
                <c:pt idx="4">
                  <c:v>746</c:v>
                </c:pt>
                <c:pt idx="5">
                  <c:v>715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A4A-4C31-AEB7-7083B44EA8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100"/>
        <c:axId val="-631705232"/>
        <c:axId val="-631702512"/>
      </c:barChart>
      <c:catAx>
        <c:axId val="-63170523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631702512"/>
        <c:crosses val="autoZero"/>
        <c:auto val="1"/>
        <c:lblAlgn val="ctr"/>
        <c:lblOffset val="100"/>
        <c:noMultiLvlLbl val="0"/>
      </c:catAx>
      <c:valAx>
        <c:axId val="-631702512"/>
        <c:scaling>
          <c:orientation val="minMax"/>
        </c:scaling>
        <c:delete val="1"/>
        <c:axPos val="t"/>
        <c:numFmt formatCode="General" sourceLinked="1"/>
        <c:majorTickMark val="none"/>
        <c:minorTickMark val="none"/>
        <c:tickLblPos val="nextTo"/>
        <c:crossAx val="-631705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08447318068981"/>
          <c:y val="0.89409667541557303"/>
          <c:w val="0.63178703893203514"/>
          <c:h val="5.96848271029482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819247594050737"/>
          <c:y val="0.24786599591717759"/>
          <c:w val="0.42749146981627406"/>
          <c:h val="0.71248578302712151"/>
        </c:manualLayout>
      </c:layout>
      <c:pieChart>
        <c:varyColors val="1"/>
        <c:ser>
          <c:idx val="0"/>
          <c:order val="0"/>
          <c:tx>
            <c:strRef>
              <c:f>'7'!$C$48</c:f>
              <c:strCache>
                <c:ptCount val="1"/>
                <c:pt idx="0">
                  <c:v>Atbilžu skaits</c:v>
                </c:pt>
              </c:strCache>
            </c:strRef>
          </c:tx>
          <c:dPt>
            <c:idx val="0"/>
            <c:bubble3D val="0"/>
            <c:explosion val="7"/>
            <c:spPr>
              <a:solidFill>
                <a:srgbClr val="00B05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5A00-4749-8AD5-F98BD7B581D7}"/>
              </c:ext>
            </c:extLst>
          </c:dPt>
          <c:dPt>
            <c:idx val="1"/>
            <c:bubble3D val="0"/>
            <c:explosion val="8"/>
            <c:spPr>
              <a:solidFill>
                <a:srgbClr val="FFFF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5A00-4749-8AD5-F98BD7B581D7}"/>
              </c:ext>
            </c:extLst>
          </c:dPt>
          <c:dPt>
            <c:idx val="2"/>
            <c:bubble3D val="0"/>
            <c:explosion val="10"/>
            <c:spPr>
              <a:gradFill rotWithShape="1">
                <a:gsLst>
                  <a:gs pos="0">
                    <a:schemeClr val="accent2">
                      <a:shade val="65000"/>
                      <a:shade val="51000"/>
                      <a:satMod val="130000"/>
                    </a:schemeClr>
                  </a:gs>
                  <a:gs pos="80000">
                    <a:schemeClr val="accent2">
                      <a:shade val="65000"/>
                      <a:shade val="93000"/>
                      <a:satMod val="130000"/>
                    </a:schemeClr>
                  </a:gs>
                  <a:gs pos="100000">
                    <a:schemeClr val="accent2">
                      <a:shade val="65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5A00-4749-8AD5-F98BD7B581D7}"/>
              </c:ext>
            </c:extLst>
          </c:dPt>
          <c:dLbls>
            <c:dLbl>
              <c:idx val="0"/>
              <c:layout>
                <c:manualLayout>
                  <c:x val="6.7495820113504149E-2"/>
                  <c:y val="3.481473965866699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A00-4749-8AD5-F98BD7B581D7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shade val="95000"/>
                      <a:satMod val="105000"/>
                    </a:schemeClr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'7'!$A$49:$A$51</c:f>
              <c:strCache>
                <c:ptCount val="3"/>
                <c:pt idx="0">
                  <c:v>7.1. Pilnībā uzticos (mani personas dati ir drošībā)</c:v>
                </c:pt>
                <c:pt idx="1">
                  <c:v>7.2. Daļēji uzticos (neesmu pilnībā pārliecināts par manu personas datu tālāku izmantošanu)</c:v>
                </c:pt>
                <c:pt idx="2">
                  <c:v>7.3. Neuzticos (domāju, ka personas datu apstrādes sistēma nav droša)</c:v>
                </c:pt>
              </c:strCache>
            </c:strRef>
          </c:cat>
          <c:val>
            <c:numRef>
              <c:f>'7'!$C$49:$C$51</c:f>
              <c:numCache>
                <c:formatCode>General</c:formatCode>
                <c:ptCount val="3"/>
                <c:pt idx="0">
                  <c:v>779</c:v>
                </c:pt>
                <c:pt idx="1">
                  <c:v>178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A00-4749-8AD5-F98BD7B581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609864391951456"/>
          <c:y val="0.16869315199236481"/>
          <c:w val="0.30532693728818078"/>
          <c:h val="0.742942524190174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bg1">
          <a:lumMod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3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12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3">
      <cs:styleClr val="auto"/>
    </cs:fillRef>
    <cs:effectRef idx="3">
      <a:schemeClr val="dk1"/>
    </cs:effectRef>
    <cs:fontRef idx="minor">
      <a:schemeClr val="tx1"/>
    </cs:fontRef>
  </cs:dataPoint>
  <cs:dataPoint3D>
    <cs:lnRef idx="0"/>
    <cs:fillRef idx="1">
      <cs:styleClr val="auto"/>
    </cs:fillRef>
    <cs:effectRef idx="3">
      <a:schemeClr val="dk1"/>
    </cs:effectRef>
    <cs:fontRef idx="minor">
      <a:schemeClr val="tx1"/>
    </cs:fontRef>
  </cs:dataPoint3D>
  <cs:dataPointLine>
    <cs:lnRef idx="1">
      <cs:styleClr val="auto"/>
    </cs:lnRef>
    <cs:lineWidthScale>7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3">
      <cs:styleClr val="auto"/>
    </cs:fillRef>
    <cs:effectRef idx="3">
      <a:schemeClr val="dk1"/>
    </cs:effectRef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0"/>
    <cs:fillRef idx="3" mods="ignoreCSTransforms">
      <cs:styleClr val="0">
        <a:shade val="25000"/>
      </cs:styleClr>
    </cs:fillRef>
    <cs:effectRef idx="3">
      <a:schemeClr val="dk1"/>
    </cs:effectRef>
    <cs:fontRef idx="minor">
      <a:schemeClr val="tx1"/>
    </cs:fontRef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0"/>
    <cs:fillRef idx="3" mods="ignoreCSTransforms">
      <cs:styleClr val="0">
        <a:tint val="25000"/>
      </cs:styleClr>
    </cs:fillRef>
    <cs:effectRef idx="3">
      <a:schemeClr val="dk1"/>
    </cs:effectRef>
    <cs:fontRef idx="minor">
      <a:schemeClr val="tx1"/>
    </cs:fontRef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0.32847</cdr:x>
      <cdr:y>0.40162</cdr:y>
    </cdr:from>
    <cdr:to>
      <cdr:x>0.43819</cdr:x>
      <cdr:y>0.54051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501775" y="1101725"/>
          <a:ext cx="501650" cy="381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lv-LV" sz="1100"/>
        </a:p>
      </cdr:txBody>
    </cdr:sp>
  </cdr:relSizeAnchor>
  <cdr:relSizeAnchor xmlns:cdr="http://schemas.openxmlformats.org/drawingml/2006/chartDrawing">
    <cdr:from>
      <cdr:x>0.14153</cdr:x>
      <cdr:y>0.122</cdr:y>
    </cdr:from>
    <cdr:to>
      <cdr:x>0.24848</cdr:x>
      <cdr:y>0.19375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920113" y="489688"/>
          <a:ext cx="695296" cy="2879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lv-LV" sz="1100"/>
            <a:t>573</a:t>
          </a:r>
        </a:p>
      </cdr:txBody>
    </cdr:sp>
  </cdr:relSizeAnchor>
  <cdr:relSizeAnchor xmlns:cdr="http://schemas.openxmlformats.org/drawingml/2006/chartDrawing">
    <cdr:from>
      <cdr:x>0.38075</cdr:x>
      <cdr:y>0.47616</cdr:y>
    </cdr:from>
    <cdr:to>
      <cdr:x>0.47659</cdr:x>
      <cdr:y>0.55718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475283" y="1911233"/>
          <a:ext cx="623068" cy="3252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lv-LV" sz="1100"/>
            <a:t>217</a:t>
          </a:r>
        </a:p>
      </cdr:txBody>
    </cdr:sp>
  </cdr:relSizeAnchor>
  <cdr:relSizeAnchor xmlns:cdr="http://schemas.openxmlformats.org/drawingml/2006/chartDrawing">
    <cdr:from>
      <cdr:x>0.61441</cdr:x>
      <cdr:y>0.56551</cdr:y>
    </cdr:from>
    <cdr:to>
      <cdr:x>0.72135</cdr:x>
      <cdr:y>0.62801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994372" y="2269879"/>
          <a:ext cx="695231" cy="2508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lv-LV" sz="1100"/>
            <a:t>117</a:t>
          </a:r>
        </a:p>
      </cdr:txBody>
    </cdr:sp>
  </cdr:relSizeAnchor>
  <cdr:relSizeAnchor xmlns:cdr="http://schemas.openxmlformats.org/drawingml/2006/chartDrawing">
    <cdr:from>
      <cdr:x>0.85542</cdr:x>
      <cdr:y>0.597</cdr:y>
    </cdr:from>
    <cdr:to>
      <cdr:x>0.94987</cdr:x>
      <cdr:y>0.66413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5561205" y="2396252"/>
          <a:ext cx="614032" cy="2694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lv-LV" sz="1100"/>
            <a:t>93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1884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Babra</dc:creator>
  <cp:keywords/>
  <dc:description/>
  <cp:lastModifiedBy>Dita Babra</cp:lastModifiedBy>
  <cp:revision>2</cp:revision>
  <dcterms:created xsi:type="dcterms:W3CDTF">2022-05-03T07:09:00Z</dcterms:created>
  <dcterms:modified xsi:type="dcterms:W3CDTF">2022-05-03T09:37:00Z</dcterms:modified>
</cp:coreProperties>
</file>